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61" w:rsidRPr="00A17EF0" w:rsidRDefault="002D6877" w:rsidP="002D6877">
      <w:pPr>
        <w:tabs>
          <w:tab w:val="center" w:pos="4677"/>
          <w:tab w:val="left" w:pos="778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C6013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433F61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33F61" w:rsidRPr="00D07D66" w:rsidTr="002D6877">
        <w:trPr>
          <w:trHeight w:val="208"/>
        </w:trPr>
        <w:tc>
          <w:tcPr>
            <w:tcW w:w="3063" w:type="dxa"/>
          </w:tcPr>
          <w:p w:rsidR="00433F61" w:rsidRPr="00D07D66" w:rsidRDefault="00F43C27" w:rsidP="002D6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433F61" w:rsidRPr="00D07D66" w:rsidRDefault="00433F61" w:rsidP="002D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433F61" w:rsidRPr="00D07D66" w:rsidRDefault="00F43C27" w:rsidP="002D687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1570</w:t>
            </w:r>
          </w:p>
        </w:tc>
      </w:tr>
    </w:tbl>
    <w:p w:rsidR="00433F61" w:rsidRPr="00D07D66" w:rsidRDefault="00433F61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образования</w:t>
      </w:r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</w:t>
      </w:r>
      <w:proofErr w:type="gramStart"/>
      <w:r w:rsidRPr="00A17EF0">
        <w:rPr>
          <w:rFonts w:ascii="Times New Roman" w:eastAsia="Calibri" w:hAnsi="Times New Roman" w:cs="Times New Roman"/>
          <w:sz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редакции от 30 августа 2018 г. № 1547,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11 января 2019 г. № 9, от 08 августа 2019 г. № 1645, от 06 июля 2020 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20 сентября 2019 г. № 554-р, от 02 июля 2020 г. № 370-р)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>
        <w:rPr>
          <w:rFonts w:ascii="Times New Roman" w:eastAsia="Calibri" w:hAnsi="Times New Roman" w:cs="Times New Roman"/>
          <w:sz w:val="28"/>
          <w:lang w:eastAsia="en-US"/>
        </w:rPr>
        <w:t>ода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proofErr w:type="gramStart"/>
      <w:r w:rsidRPr="00124ABD">
        <w:rPr>
          <w:rFonts w:ascii="Times New Roman" w:eastAsia="Calibri" w:hAnsi="Times New Roman" w:cs="Times New Roman"/>
          <w:sz w:val="28"/>
          <w:lang w:eastAsia="en-US"/>
        </w:rPr>
        <w:t>«О</w:t>
      </w:r>
      <w:proofErr w:type="gramEnd"/>
      <w:r w:rsidRPr="00124ABD">
        <w:rPr>
          <w:rFonts w:ascii="Times New Roman" w:eastAsia="Calibri" w:hAnsi="Times New Roman" w:cs="Times New Roman"/>
          <w:sz w:val="28"/>
          <w:lang w:eastAsia="en-US"/>
        </w:rPr>
        <w:t>б утверждении перечня муниципальных программ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>» (в редакции от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№253-р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образования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3F61" w:rsidRPr="00A17EF0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 w:rsidP="002D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DF6425" w:rsidRDefault="00433F61" w:rsidP="00433F61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>
        <w:rPr>
          <w:rFonts w:ascii="Times New Roman" w:eastAsia="Times New Roman" w:hAnsi="Times New Roman" w:cs="Arial"/>
          <w:sz w:val="28"/>
          <w:szCs w:val="20"/>
        </w:rPr>
        <w:t>Развитие образования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33F61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814028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C6013F" w:rsidRDefault="00C6013F" w:rsidP="00C601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C601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C601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C6013F" w:rsidRDefault="00C6013F" w:rsidP="00C601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C6013F" w:rsidRDefault="00C6013F" w:rsidP="00C601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850B18" w:rsidRDefault="00850B18" w:rsidP="00C6013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B18" w:rsidRDefault="00850B18" w:rsidP="00C6013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6013F" w:rsidRPr="00F43C27" w:rsidRDefault="00C6013F" w:rsidP="00C6013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C6013F" w:rsidRPr="00F43C27" w:rsidSect="00EB11E7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2288"/>
        </w:sectPr>
      </w:pPr>
      <w:r w:rsidRPr="00F43C27">
        <w:rPr>
          <w:rFonts w:ascii="Times New Roman" w:hAnsi="Times New Roman" w:cs="Times New Roman"/>
          <w:color w:val="FFFFFF" w:themeColor="background1"/>
          <w:sz w:val="28"/>
          <w:szCs w:val="28"/>
        </w:rPr>
        <w:t>Н.А.Шевченко</w:t>
      </w:r>
    </w:p>
    <w:p w:rsidR="00433F61" w:rsidRDefault="00433F61" w:rsidP="002D6877">
      <w:pPr>
        <w:pStyle w:val="ConsPlusNormal"/>
        <w:spacing w:line="24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2D6877" w:rsidTr="002D6877">
        <w:tc>
          <w:tcPr>
            <w:tcW w:w="5211" w:type="dxa"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D6877" w:rsidTr="002D6877">
        <w:tc>
          <w:tcPr>
            <w:tcW w:w="5211" w:type="dxa"/>
          </w:tcPr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D6877" w:rsidRDefault="002D6877" w:rsidP="002D687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2D6877" w:rsidRDefault="002D6877" w:rsidP="002D68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2D6877" w:rsidRDefault="00F43C27" w:rsidP="00F43C27">
      <w:pPr>
        <w:pStyle w:val="ConsPlusNormal"/>
        <w:tabs>
          <w:tab w:val="left" w:pos="73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13 ноября 2020 г. № 1570</w:t>
      </w:r>
    </w:p>
    <w:p w:rsidR="002D6877" w:rsidRDefault="002D6877" w:rsidP="002D6877">
      <w:pPr>
        <w:pStyle w:val="ConsPlusNormal"/>
        <w:spacing w:line="240" w:lineRule="exact"/>
        <w:rPr>
          <w:sz w:val="28"/>
          <w:szCs w:val="28"/>
        </w:rPr>
      </w:pPr>
    </w:p>
    <w:p w:rsidR="002D6877" w:rsidRDefault="002D6877" w:rsidP="002D6877">
      <w:pPr>
        <w:pStyle w:val="ConsPlusNormal"/>
        <w:spacing w:line="240" w:lineRule="exact"/>
        <w:rPr>
          <w:sz w:val="28"/>
          <w:szCs w:val="28"/>
        </w:rPr>
      </w:pPr>
      <w:bookmarkStart w:id="1" w:name="_GoBack"/>
      <w:bookmarkEnd w:id="1"/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образования»</w:t>
      </w:r>
    </w:p>
    <w:p w:rsidR="00AC424C" w:rsidRDefault="00AC424C">
      <w:pPr>
        <w:pStyle w:val="ConsPlusNormal"/>
        <w:jc w:val="center"/>
        <w:rPr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1"/>
        <w:gridCol w:w="5937"/>
      </w:tblGrid>
      <w:tr w:rsidR="00AC424C">
        <w:trPr>
          <w:trHeight w:val="838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Петровского городского округа Ставропольского края «Развитие образования» (далее - Программа)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Петровского городского округа Ставропольского края (далее - отдел образования)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развития и поддержки системы образования» (далее – МКУ ЦР и ПСО);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Петровского городского округа Ставропольского края (далее - администрация);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 и спорта администрации Петровского городского округа Ставропольского края (далее – отдел физической культуры и спорта);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«Импульс» (далее - МКУ МЦ «Импульс»)</w:t>
            </w:r>
          </w:p>
        </w:tc>
      </w:tr>
      <w:tr w:rsidR="00AC424C">
        <w:trPr>
          <w:trHeight w:val="1310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дошкольного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общего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дополнительного образования»;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отдыха и занятости несовершеннолетних»;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Петровского городского округа Ставропольского края (далее – округа)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      </w:r>
          </w:p>
          <w:p w:rsidR="00AC424C" w:rsidRDefault="00AC42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школьников, обучающихся по федеральным государственным образовательным стандартам общего </w:t>
            </w:r>
            <w:r>
              <w:rPr>
                <w:sz w:val="28"/>
                <w:szCs w:val="28"/>
              </w:rPr>
              <w:lastRenderedPageBreak/>
              <w:t>образования, в общей численности школьников;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 образовательных организаций, принявших участие в конкурсах, фестивалях профессионального мастерства, в общей численности педагогических работников образовательных организаций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2021 - 2026 годы</w:t>
            </w:r>
          </w:p>
        </w:tc>
      </w:tr>
      <w:tr w:rsidR="00AC424C">
        <w:trPr>
          <w:trHeight w:val="888"/>
        </w:trPr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 5 114 589,61тыс. рублей, в том числе по источникам финансового обеспечения:</w:t>
            </w:r>
          </w:p>
        </w:tc>
      </w:tr>
      <w:tr w:rsidR="00AC424C">
        <w:trPr>
          <w:trHeight w:val="350"/>
        </w:trPr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–2 488 496,30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год- 410 172,80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- 415 664,70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год- 415 664,70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год- 415 664,70 тыс. рублей;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– бюджет округа)–2 626 093,31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-436 232,96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437 972,07 тыс. рублей.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- 437 972,07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- 437 972,07 тыс. рублей;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рублей;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AC424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рублей.</w:t>
            </w:r>
          </w:p>
        </w:tc>
      </w:tr>
      <w:tr w:rsidR="00AC424C">
        <w:tc>
          <w:tcPr>
            <w:tcW w:w="3481" w:type="dxa"/>
            <w:shd w:val="clear" w:color="auto" w:fill="auto"/>
          </w:tcPr>
          <w:p w:rsidR="00AC424C" w:rsidRDefault="007A2F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shd w:val="clear" w:color="auto" w:fill="auto"/>
          </w:tcPr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до 71,25 %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2021 по 2026 год) сохранение доли школьников, обучающихся по федеральным государственным образовательным стандартам общего образования, в общей численности школьников, на уровне 100,00 %;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до 80,20 %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детей первой и второй групп </w:t>
            </w:r>
            <w:r>
              <w:rPr>
                <w:sz w:val="28"/>
                <w:szCs w:val="28"/>
              </w:rPr>
              <w:lastRenderedPageBreak/>
              <w:t xml:space="preserve">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муниципальных общеобразовательных учреждениях до 76,40% к 2026 году;</w:t>
            </w:r>
          </w:p>
          <w:p w:rsidR="00AC424C" w:rsidRDefault="00AC424C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  <w:p w:rsidR="00AC424C" w:rsidRDefault="007A2FDB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педагогических работников образовательных организаций, принявших участие в конкурсах, фестивалях профессионального мастерства, в общей численности педагогических работников образовательных организаций до 43,00% к 2026 году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системы образования в Петровском городском округе Ставропольского края, финансовое обеспечение и механизмы реализации предусмотренных мероприятий, показатели их результативности.</w:t>
      </w:r>
    </w:p>
    <w:p w:rsidR="00AC424C" w:rsidRDefault="007A2FDB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>
          <w:rPr>
            <w:rStyle w:val="ListLabel1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края, утвержденной решением Совета депутатов Петровского городского округа Ставропольского края от 14.12.2018 г. № 196 «Об утверждении стратегии социально-экономического развития Петровского городского округа Ставропольского края до 2035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направлениями социально-экономического развития Ставропольского края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направлениями стратегического развития Российской Федерации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2012 г. № 599 «О мерах по реализации государственной политики в области образования и науки», 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года», Федеральным законом от 29.12.2012 г. № 273-ФЗ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 05.12.2017 г. № 392-ФЗ «</w:t>
      </w:r>
      <w:r>
        <w:rPr>
          <w:rFonts w:ascii="Times New Roman" w:hAnsi="Times New Roman" w:cs="Times New Roman"/>
          <w:sz w:val="28"/>
          <w:szCs w:val="28"/>
        </w:rPr>
        <w:t xml:space="preserve"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 и федеральными учреждениями медико-социальной экспертизы»,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нормативными правовыми актами Ставропольского края в области образования,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 №9, от 08 августа 2019 №1645, от 06 июля 2020 г. № 867), распоряжением администрации Петровского городского округа Ставропольского края от 18 апреля 2018 года № 206-р «Об утверждении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указаний по разработке и реализации муниципальных программ Петровского городского округа Ставропольского края» (в редакции от 19 октября 2018 г. №571-р, от 04 декабря 2018 г. № 656-р, от 20 сентября 2019 г. №554-р, от 02 июля 2020 г. № 370-р).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сфере образования направлена на реализацию государственной политики в области расширения доступности, повышения качества и эффективности образования в округе. </w:t>
      </w:r>
      <w:r>
        <w:rPr>
          <w:spacing w:val="2"/>
          <w:sz w:val="28"/>
          <w:szCs w:val="28"/>
        </w:rPr>
        <w:t>В Программе учтены основные параметры приоритетных проектов (программ) по основному направлению стратегического развития Российской Федерации «Образование».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приоритетным направлениям реализации Программы относятся: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консолидация усилий всех субъектов системы образования в округе и необходимых ресурсов для достижения главных целей развития образования: повышение доступности, совершенствование содержания и технологий образования, обеспечение качественного образования;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возможности каждому ребенку до поступления в школу освоить программы дошкольного образования, внедрение новых форм дошкольного образования (группы кратковременного пребывания, группы присмотра и ухода и др.);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гибкости и многообразия форм предоставления услуг образовательными организациями, обеспечение формирования базовых компетенций личности (информационной, коммуникативной, самоорганизации и самообразования);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внедрения в образовательный процесс активных форм и методов обучения и воспитания, способствующих развитию у детей познавательной и социальной активности;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выявления и развития способностей детей школьного возраста с перспективой их формирования в профессиональные навыки; выявление и поддержка талантливых детей, вовлечение их в социальную практику, развитие ученического самоуправления, создание в образовательных организациях </w:t>
      </w:r>
      <w:proofErr w:type="spellStart"/>
      <w:r>
        <w:rPr>
          <w:spacing w:val="2"/>
          <w:sz w:val="28"/>
          <w:szCs w:val="28"/>
        </w:rPr>
        <w:t>здоровьесберегающей</w:t>
      </w:r>
      <w:proofErr w:type="spellEnd"/>
      <w:r>
        <w:rPr>
          <w:spacing w:val="2"/>
          <w:sz w:val="28"/>
          <w:szCs w:val="28"/>
        </w:rPr>
        <w:t xml:space="preserve"> среды;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в округе получения образования детьми-инвалидами и детьми с ограниченными возможностями здоровья;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рост заработной платы и повышение социального статуса педагога в обществе, привлечение и закрепление молодых специалистов в сфере образования;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мастерства педагогических работников образовательных организаций округа;</w:t>
      </w:r>
    </w:p>
    <w:p w:rsidR="00AC424C" w:rsidRDefault="007A2FDB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приведение в соответствии с современными требованиями материально-технического состояния образовательных организаций.</w:t>
      </w:r>
    </w:p>
    <w:p w:rsidR="00AC424C" w:rsidRDefault="007A2FDB">
      <w:pPr>
        <w:pStyle w:val="formattext"/>
        <w:shd w:val="clear" w:color="auto" w:fill="FFFFFF"/>
        <w:spacing w:beforeAutospacing="0" w:after="0" w:afterAutospacing="0" w:line="263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AC424C" w:rsidRDefault="007A2FDB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детей;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системы образования округа, отвечающей современным требованиям государства и общества.</w:t>
      </w:r>
    </w:p>
    <w:p w:rsidR="00AC424C" w:rsidRDefault="007A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1-5.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показатели решения задач подпрограмм Программы приведены в приложении 6.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7.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приложении8.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</w:t>
      </w:r>
      <w:r>
        <w:rPr>
          <w:rFonts w:ascii="Times New Roman" w:hAnsi="Times New Roman" w:cs="Times New Roman"/>
          <w:bCs/>
          <w:sz w:val="28"/>
          <w:szCs w:val="28"/>
        </w:rPr>
        <w:t>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достижении той же цели Программы </w:t>
      </w:r>
      <w:r>
        <w:rPr>
          <w:rFonts w:ascii="Times New Roman" w:hAnsi="Times New Roman" w:cs="Times New Roman"/>
          <w:sz w:val="28"/>
          <w:szCs w:val="28"/>
        </w:rPr>
        <w:t>приведены в приложении 9.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8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687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D6877" w:rsidRPr="002D6877" w:rsidRDefault="002D6877" w:rsidP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687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r w:rsidRPr="002D68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6877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121"/>
      <w:bookmarkEnd w:id="2"/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дошкольного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 муниципальной программы Петровского городского округа Ставропольского края «Развитие образования» (далее -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Петровского городского округа Ставропольского края (далее – дошкольные образовательные организации);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муниципальных дошкольных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2 172 436,52 тыс. рублей всего, в том числе по источникам финансового обеспечения: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911 618,23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149 601,78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152 403,29тыс.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- 152 403,29 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- 152 403,29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–1 260 818,29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209 630,89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210 237,48 тыс. рублей;</w:t>
            </w:r>
          </w:p>
          <w:p w:rsidR="00AC424C" w:rsidRDefault="007A2F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210 237,48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доли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             с 3,20 % в 2021 году до 3,00 % в 2026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муниципальных дошкольных образовательных учреждений, здания которых находятся в аварийном состоянии или требуют капитального ремонта, в 2026 году</w:t>
            </w:r>
          </w:p>
        </w:tc>
      </w:tr>
    </w:tbl>
    <w:p w:rsidR="00AC424C" w:rsidRDefault="00AC424C">
      <w:pPr>
        <w:widowControl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достижения показателей решения задач подпрограммы</w:t>
      </w:r>
      <w:proofErr w:type="gramEnd"/>
      <w:r>
        <w:rPr>
          <w:szCs w:val="28"/>
        </w:rPr>
        <w:t xml:space="preserve"> предусмотрено осуществление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предоставления бесплатного дошкольного образования. 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дошкольных образовательных организаций,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поддержки семьям, имеющим детей дошкольного возраста, в части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 w:rsidP="002D687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дошкольных образовательных организаций;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муниципальной поддержки молодым специалистам дошкольных 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заработной платы педагогическим работникам дошкольных 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независимой оценки качества условий осуществления образовательной деятельности дошкольных образовательных организаций.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дошкольные образовательные организации округа и администрация Петровского городского округа Ставропольского края.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с 3,20 % в 2021 году до 3,00 % в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Реконструкция и капитальный ремонт объектов дошкольного образования, находящихся в муниципальной собственности.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работ, оказание услуг и закупка товаров для муниципальных нужд.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дошкольные образовательные организации округа. 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муниципальных дошкольных образовательных учреждений, здания которых находятся в аварийном состоянии или требуют капитального ремонта, в 2026 году.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общего образования»</w:t>
      </w:r>
    </w:p>
    <w:p w:rsidR="007A2FDB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/>
      </w:tblPr>
      <w:tblGrid>
        <w:gridCol w:w="4218"/>
        <w:gridCol w:w="5530"/>
      </w:tblGrid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Петровского городского округа Ставропольского края (далее – общеобразовательные организации);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 и ПСО;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МЦ «Импульс».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воспитательной работы в общеобразовательных организациях округа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подпрограммы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посещающих общеобразовательные организации;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всеми видами горячего питания в общей численности обучающихся общеобразовательных организаций;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 (нарастающим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AC424C" w:rsidRDefault="007A2FD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AC424C" w:rsidRPr="007A2FDB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</w:t>
            </w:r>
            <w:r w:rsidRPr="007A2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учителей муниципальных общеобразовательных учреждений;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итогом);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2 539 078,00 тыс. рублей всего, в том числе по источникам финансового обеспечения: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бюджет– 1 576 146,25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260 449,05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263 139,44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–263 139,44 тыс. рублей;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 962 931,75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159 696,35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160 647,08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160 647,08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160 647,08 тыс. рублей;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 w:rsidTr="00C6013F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530" w:type="dxa"/>
            <w:shd w:val="clear" w:color="auto" w:fill="auto"/>
          </w:tcPr>
          <w:p w:rsidR="00AC424C" w:rsidRDefault="007A2F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посещающих общеобразовательные организации с 6580 человек в 2021 году до 6605 человек в 2026 году;</w:t>
            </w: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0,40%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охваченных всеми видами горячего питания, в общей численности обучающихся общеобразовательных организаций до 98%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(с 2021 по 2026 год) сохранение доли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муниципальных общеобразовательных организациях, на уровне 100,00 %;</w:t>
            </w:r>
            <w:proofErr w:type="gramEnd"/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не менее 7 к 2024 году;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1230 человек к 2024 году;</w:t>
            </w:r>
            <w:proofErr w:type="gramEnd"/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не менее 12 в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аналогичных проектов, направленных на раннюю профориентацию, до 3350 человек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общеобразовательных организаций, в которых внедрена целевая модель цифровой образовательной среды до 9 единиц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использующих поставленное оборудование в рамках регионального проекта «Цифровая образовательная среда» до 4200 человек к 2024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(с 2021 по 2026 год) сохранение показателя среднемесячной номинальной начисленной заработной платы учителей муниципальных общеобразовательных организаций на уровне не ниже показателя прошлого года;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 ставших победителями и призерами краевого этапа Всероссийской олимпиады школьников до 45 человек к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 до 88 % к 2026 году;</w:t>
            </w:r>
          </w:p>
        </w:tc>
      </w:tr>
    </w:tbl>
    <w:p w:rsidR="00AC424C" w:rsidRDefault="00AC424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предоставления бесплатного общего образования. 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Подпрограммы </w:t>
      </w:r>
      <w:r>
        <w:rPr>
          <w:sz w:val="28"/>
          <w:szCs w:val="28"/>
        </w:rPr>
        <w:lastRenderedPageBreak/>
        <w:t>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общеобразовательных организаций,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AC424C" w:rsidRDefault="00AC424C">
      <w:pPr>
        <w:pStyle w:val="ConsPlusNormal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горячим питанием обучающихся муниципальных общеобразовательных организаций, в том числе организация бесплатного горячего питания обучающихся, получающих начальное общее образование в муниципальных общеобразовательных организациях округа;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общеобразовательных организаций;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поддержки молодым специалистам общеобразовательных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заработной платы педагогическим работникам общеобразовательных организаций;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:rsidR="00AC424C" w:rsidRDefault="00AC4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независимой оценки качества условий осуществления образовательной деятельности;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66178B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территорий муниципальных общеобразовательных организаций, путем асфальтирования (включая установку (замену) бордюров) территории общеобразовательных организаций</w:t>
      </w:r>
      <w:r w:rsidR="0066178B">
        <w:rPr>
          <w:rFonts w:ascii="Times New Roman" w:hAnsi="Times New Roman" w:cs="Times New Roman"/>
          <w:sz w:val="28"/>
          <w:szCs w:val="28"/>
        </w:rPr>
        <w:t>;</w:t>
      </w:r>
    </w:p>
    <w:p w:rsidR="00B726FC" w:rsidRDefault="00B72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6FC" w:rsidRDefault="00B726FC" w:rsidP="00B726FC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обеспечение деятельности центров образования цифрового и гуманитарного профилей в части приобретения расходного материала и выплаты заработной платы сотрудникам центров образования цифрового и </w:t>
      </w:r>
      <w:r>
        <w:rPr>
          <w:szCs w:val="28"/>
        </w:rPr>
        <w:lastRenderedPageBreak/>
        <w:t>гуманитарного профилей, созданных на базе общеобразовательных организаций в качестве структурных подразделений.</w:t>
      </w:r>
    </w:p>
    <w:p w:rsidR="00AC424C" w:rsidRDefault="00AC424C" w:rsidP="00BF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Соисполнителями основного мероприятия Подпрограммы являются общеобразовательные организации округа и администрация.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детей, посещающих общеобразовательные организации с 6580 человек в 2021 году до 6605 человек в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0,40 % к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обучающихся, охваченных всеми видами горячего питания, в общей численности обучающихся общеобразовательных организаций округа до 98% к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ежегодное (с 2021 по 2026 год) сохранение доли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организациях, на уровне 100,00 %;</w:t>
      </w:r>
      <w:proofErr w:type="gramEnd"/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(с 2021 по 2026 год) сохранение показателя среднемесячной номинальной начисленной заработной платы учителей муниципальных общеобразовательных организаций на уровне не ниже показателя прошлого года.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Реконструкция и капитальный ремонт объектов общего образования, находящихся в муниципальной собственности.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 w:rsidP="00C6013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оказание услуг и закупка товаров для муниципальных нужд;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работ по капитальному ремонту кровель в общеобразовательных организациях округа;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78B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B726FC">
        <w:rPr>
          <w:rFonts w:ascii="Times New Roman" w:hAnsi="Times New Roman"/>
          <w:sz w:val="28"/>
          <w:szCs w:val="28"/>
        </w:rPr>
        <w:t>.</w:t>
      </w:r>
    </w:p>
    <w:p w:rsidR="00AC424C" w:rsidRDefault="00AC424C" w:rsidP="0066178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Строительство спортзала, мастерской и спортивной площадки в МКОУ СОШ № 5 г. Светлограда.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строительству спортзала, мастерской и спортивной площадки в МКОУ СОШ № 5 г. Светлограда;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разрешения на ввод в эксплуатацию объекта капитального строительства.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является МКОУ СОШ № 5 г. Светлограда.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Pr="00BF73F3" w:rsidRDefault="007A2FDB" w:rsidP="00BF73F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реализации основного мероприятия Подпрограммы участники не предусмотрены.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91,00 % в 2021 году до 92,00 % в 2026 году.</w:t>
      </w:r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Реализация регионального проекта «Современная школа».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мероприятий, предусмотренных федеральным проектом «Современная школа» национального проекта «Образование», в том числе: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общеобразовательных организациях округа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к 2024 году во всех общеобразовательных организациях округа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AC424C" w:rsidRDefault="00AC42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не менее 7 к 2024 году;</w:t>
      </w:r>
    </w:p>
    <w:p w:rsidR="00AC424C" w:rsidRDefault="007A2FDB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1230 человек к 2024 году.</w:t>
      </w:r>
      <w:proofErr w:type="gramEnd"/>
    </w:p>
    <w:p w:rsidR="00AC424C" w:rsidRDefault="00AC424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Реализация регионального проекта «Успех каждого ребенка».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 в рамках федерального проекта «Успех каждого ребенка» национального проекта «Образование», в том числе:</w:t>
      </w: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в муниципальных общеобразовательных организациях округа, расположенных в сельской местности, условий для занятия физической культурой и спортом путем проведения ремонтов спортивных залов и приобретения спортивного оборудования для создания школьных спортивных клубов в общеобразовательных организациях округа;</w:t>
      </w:r>
    </w:p>
    <w:p w:rsidR="00AC424C" w:rsidRDefault="00AC424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организация участия обучающихся общеобразовательных организаций в открытых онлайн-уроках, реализуемых с учетом опыта цикла открытых уроков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», «Уроки настоящего» и иных аналогичных проектов, направленных на раннюю профориентацию.</w:t>
      </w:r>
      <w:proofErr w:type="gramEnd"/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количества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не менее 12 к 2024 году;</w:t>
      </w:r>
    </w:p>
    <w:p w:rsidR="00AC424C" w:rsidRDefault="00AC42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численности участников открытых онлайн-уроков, реализуемых с учетом опыта цикла открытых уроков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», «Уроки настоящего» и иных аналогичных проектов, направленных на раннюю профориентацию, до 3350 человек к 2024 году.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Реализация регионального проекта «Цифровая образовательная среда».</w:t>
      </w: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Подпрограммы предполагается проведение мероприятий предусмотренных федеральным проектом «Цифровая образовательная среда» национального проекта «Образование», направленных на внедрение целевой модели цифровой образовательной среды в общеобразовательных организациях округа, в том числе:</w:t>
      </w: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заявки и подготовка документов для участия в отборе на предоставление субсидий из федерального бюджета бюджетам субъектов Российской Федерации;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и руководящих работников общеобразовательных организаций округа, по вопросам внедрения целевой модели цифровой образовательной среды;</w:t>
      </w:r>
    </w:p>
    <w:p w:rsidR="00AC424C" w:rsidRDefault="00AC424C">
      <w:pPr>
        <w:pStyle w:val="ConsPlusNormal"/>
        <w:ind w:firstLine="709"/>
        <w:jc w:val="both"/>
        <w:rPr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обучающихся и педагогических работников к цифровой образовательной инфраструктуре и контенту в общеобразовательных организациях округа, в которых внедрена целевая модель цифровой образовательной среды.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AC424C" w:rsidRDefault="007A2FD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 до 9 единиц в 2024 году;</w:t>
      </w:r>
    </w:p>
    <w:p w:rsidR="00AC424C" w:rsidRDefault="00AC424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24C" w:rsidRDefault="007A2F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обучающихся, использующих поставленное оборудование в рамках регионального проекта «Цифровая образовательная среда» до 4200 человек к 2024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Pr="002D6877" w:rsidRDefault="007A2FDB" w:rsidP="002D68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проведение мероприятий для детей и молодежи в сфере образования.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предполагается: </w:t>
      </w:r>
    </w:p>
    <w:p w:rsidR="00AC424C" w:rsidRDefault="007A2FDB" w:rsidP="00C60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участия в различных оценочных процедурах и исследованиях качества общего образования;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слетов, конкурсов и других мероприятий, в том числе патриотической направленности;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организация, проведение спортивных соревнований среди обучающихся общеобразовательных организаций округа и размещение информации по вопросам популяризации физкультуры и спорта, на официальном сайте отдела образования в информационно - телекоммуникационной сети «Интернет».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по данному основному мероприятию являются МКУ ЦР и ПСО, МКУ МЦ «Импульс», общеобразовательные организации.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доли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 до 88 % к 2026 году;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ставших победителями и призерами краевого этапа Всероссийской олимпиады школьников до 45 человек к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3F3" w:rsidRDefault="00BF73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«Развитие дополнительного образования» 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Петровского городского округа Ставропольского края (далее – организации дополнительного образования);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дополнительного образования детей в округе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занимающихся в организациях дополнительного образования</w:t>
            </w:r>
          </w:p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общественно значимых мероприятий, проводимых организациями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(нарастающим итогом)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254 702,18 тыс. рублей всего, в том числе по источникам финансового обеспечения: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бюджет–731,82 тыс. рублей,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121,97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121,97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 253 970,36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- 42 299,91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- 42 334,09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- 42 334,09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2026 году – 0,00 тыс. рублей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занимающихся в организациях дополнительного образования с 4340 человек в 2021 году до 4440 в 2026 году;</w:t>
            </w:r>
          </w:p>
          <w:p w:rsidR="00AC424C" w:rsidRDefault="00AC42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(с 2021 года по 2026 год) проведение не менее 4 общественно значимых мероприятий организациями дополнительного образования.</w:t>
            </w:r>
          </w:p>
        </w:tc>
      </w:tr>
    </w:tbl>
    <w:p w:rsidR="00AC424C" w:rsidRDefault="00AC424C">
      <w:pPr>
        <w:widowControl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1. Реализация дополнительных общеобразовательных программ, обеспечение деятельности организаций дополнительного образования.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В рамках данного основного мероприятия Подпрограммы предполагается:</w:t>
      </w: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организаций дополнительного образования, приобретение имущества в муниципальную собственность и его содержание;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реализация дополнительных общеразвивающих программ, реализация дополнительных предпрофессиональных программ и программ спортивной подготовки;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проведение независимой оценки качества условий осуществления образовательной деятельности;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медицинских осмотров работниками организаций дополнительного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оказание муниципальной поддержки молодым специалистам организаций дополнительного образования;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выплата заработной платы педагогическим работникам организаций дополнительного образования;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по оплате жилых помещений, отопления и освещения педагогическим работникам </w:t>
      </w:r>
      <w:r>
        <w:rPr>
          <w:sz w:val="28"/>
          <w:szCs w:val="28"/>
        </w:rPr>
        <w:lastRenderedPageBreak/>
        <w:t>муниципальных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организации дополнительного образования округа и администрация.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детей, занимающихся в организациях дополнительного образования с 4340 человек в 2021 году до 4440 в 2026 году.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>2. Развитие творческих и интеллектуальных способностей детей и подростков.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окружных научно-практических конференций, семинаров, смотров, конкурсов, олимпиад и других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C424C" w:rsidRDefault="00AC424C">
      <w:pPr>
        <w:pStyle w:val="ConsPlusNormal"/>
        <w:ind w:firstLine="708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окружных мероприятий с педагогами по проблемам организации воспитательной работы, дополнительного образования;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проведении окружных научно-практических конференций, семинаров, смотров, конкурсов, олимпиад и других мероприятий с обучающимися и педагогами на официальном сайте отдела образования информационно - телекоммуникационной сети «Интернет».</w:t>
      </w:r>
    </w:p>
    <w:p w:rsidR="00AC424C" w:rsidRDefault="00AC424C">
      <w:pPr>
        <w:pStyle w:val="ConsPlusNormal"/>
        <w:ind w:firstLine="720"/>
        <w:jc w:val="both"/>
        <w:rPr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AC424C" w:rsidRDefault="00AC424C">
      <w:pPr>
        <w:pStyle w:val="af2"/>
        <w:ind w:left="0" w:firstLine="709"/>
        <w:jc w:val="both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организации дополнительного образования округа.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pStyle w:val="af2"/>
        <w:ind w:left="0" w:firstLine="709"/>
        <w:jc w:val="both"/>
        <w:rPr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Непосредственным результатом реализации данного основного мероприятия Подпрограммы станет:</w:t>
      </w: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ежегодное (с 2021 года по 2026 год) проведение не менее 4 общественно значимых мероприятий организациями дополнительного образования.</w:t>
      </w: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C424C" w:rsidRDefault="007A2FD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несовершеннолетних»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/>
      </w:tblPr>
      <w:tblGrid>
        <w:gridCol w:w="4218"/>
        <w:gridCol w:w="5294"/>
      </w:tblGrid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образования,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и спорта 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24C">
        <w:trPr>
          <w:trHeight w:val="1429"/>
        </w:trPr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подростков социальной активности, положительной мотивации на ведение здорового образа жизни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летним отдыхом и трудовой занятостью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33 746,33тыс. рублей всего, в том числе по источникам финансового обеспечения:</w:t>
            </w:r>
          </w:p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0,00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округа –33 746,33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5 642,18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5 620,83тыс. рублей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5 620,83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5 620,83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AC42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shd w:val="clear" w:color="auto" w:fill="auto"/>
          </w:tcPr>
          <w:p w:rsidR="00AC424C" w:rsidRDefault="00AC42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4C">
        <w:tc>
          <w:tcPr>
            <w:tcW w:w="4218" w:type="dxa"/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несовершеннолетних, охваченных летним отдыхом и трудовой занятостью до 99,4% к 2026 году</w:t>
            </w:r>
          </w:p>
        </w:tc>
      </w:tr>
    </w:tbl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AC424C" w:rsidRDefault="007A2FDB">
      <w:pPr>
        <w:pStyle w:val="af5"/>
        <w:ind w:left="0" w:firstLine="709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достижения показателей решения задач подпрограммы</w:t>
      </w:r>
      <w:proofErr w:type="gramEnd"/>
      <w:r>
        <w:rPr>
          <w:szCs w:val="28"/>
        </w:rPr>
        <w:t xml:space="preserve">                             предусмотрено осуществление следующих основных мероприятий:</w:t>
      </w:r>
    </w:p>
    <w:p w:rsidR="00AC424C" w:rsidRDefault="00AC424C">
      <w:pPr>
        <w:pStyle w:val="af5"/>
        <w:ind w:left="0" w:firstLine="709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1. Организация и обеспечение отдыха и оздоровления несовершеннолетних. 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деятельности муниципальных образовательных организаций, на базе которых функционируют пришкольные лагеря с дневным пребыванием детей;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питания в пришкольных лагерях с дневным пребыванием детей.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основного мероприятия Подпрограммы являются общеобразовательные организации и организации дополнительного образования. 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 xml:space="preserve">2. Организация трудовой занятости несовершеннолетних. 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трудоустройства обучающихся общеобразовательных организаций в возрасте от 14 до 18 лет в свободное от учебы и каникулярное время;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организация деятельности ученических производственных бригад, трудовых объединений школьников, летней трудовой практики.</w:t>
      </w:r>
    </w:p>
    <w:p w:rsidR="00AC424C" w:rsidRDefault="00AC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организации, отдел физической культуры и спорта.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основного мероприятия Подпрограммы участником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lastRenderedPageBreak/>
        <w:t>3. Организация загородного отдыха детей.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 рамках данного основного мероприятия предполагается: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обеспечение деятельности муниципального бюджетного учреждения дополнительного образования «Детский оздоровительно-образовательный (профильный) центр «Родничок» (далее - МБУ ДО ДООЦ «Родничок»), приобретение имущества в муниципальную собственность и его содержание и т.д.;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прохождение медицинских осмотров работниками МБУ ДО ДООЦ «Родничок»;</w:t>
      </w:r>
    </w:p>
    <w:p w:rsidR="00AC424C" w:rsidRDefault="007A2FDB">
      <w:pPr>
        <w:pStyle w:val="af5"/>
        <w:ind w:left="0" w:firstLine="708"/>
        <w:rPr>
          <w:szCs w:val="28"/>
        </w:rPr>
      </w:pPr>
      <w:r>
        <w:rPr>
          <w:szCs w:val="28"/>
        </w:rPr>
        <w:t>выплата заработной платы педагогическим работникам МБУ ДО ДООЦ «Родничок».</w:t>
      </w:r>
    </w:p>
    <w:p w:rsidR="00AC424C" w:rsidRDefault="00AC424C">
      <w:pPr>
        <w:pStyle w:val="af5"/>
        <w:ind w:left="0" w:firstLine="708"/>
        <w:rPr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МБУ ДО ДООЦ «Родничок».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AC424C" w:rsidRDefault="00AC4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всех основных мероприятий Подпрограммы станет: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несовершеннолетних, охваченных летним отдыхом и трудовой занятостью, до 99,4% к 2026 году.</w:t>
      </w:r>
    </w:p>
    <w:p w:rsidR="00AC424C" w:rsidRDefault="00AC424C">
      <w:pPr>
        <w:pStyle w:val="af2"/>
        <w:ind w:left="0" w:firstLine="346"/>
        <w:jc w:val="both"/>
        <w:rPr>
          <w:szCs w:val="28"/>
        </w:rPr>
      </w:pPr>
    </w:p>
    <w:p w:rsidR="00AC424C" w:rsidRDefault="007A2FDB">
      <w:pPr>
        <w:pStyle w:val="af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Перечень основных мероприятий подпрограммы приведен в приложении 7 к Программе.</w:t>
      </w: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pStyle w:val="af2"/>
        <w:ind w:left="0" w:firstLine="709"/>
        <w:jc w:val="both"/>
        <w:rPr>
          <w:b w:val="0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5</w:t>
      </w:r>
    </w:p>
    <w:p w:rsidR="00AC424C" w:rsidRDefault="007A2FDB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</w:r>
    </w:p>
    <w:p w:rsidR="00AC424C" w:rsidRDefault="007A2FDB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 муниципальной программы Петровского городского округа Ставропольского края «Развитие образования» (далее – Подпрограмма) представляет собой совокупность мер, направленных на создание условий для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Подпрограммы является 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>Показателями решения задач подпрограммы являются: доля руководителей и педагогических работников образовательных организаций, принявших участие в мероприятиях по повышению квалификации; уровень просроченной кредиторской задолженности по оплате труда в общей сумме кредиторской задолженности.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является отдел образования. 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при реализации основных мероприятий Подпрограммы является МКУ ЦР и ПСО, образовательные организации.</w:t>
      </w:r>
    </w:p>
    <w:p w:rsidR="00AC424C" w:rsidRDefault="007A2F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мероприятий Подпрограммы участники не предусмотрены.</w:t>
      </w:r>
    </w:p>
    <w:p w:rsidR="00AC424C" w:rsidRDefault="007A2F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AC424C" w:rsidRDefault="007A2FDB" w:rsidP="002D68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основных мероприятий:</w:t>
      </w: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Обеспечение поступательного развития системы образования Петровского городского округа. </w:t>
      </w:r>
    </w:p>
    <w:p w:rsidR="00AC424C" w:rsidRDefault="00AC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обеспечена деятельность МКУ ЦР и ПСО, пройдены медицинские осмотры сотрудниками отдела образования и МКУ ЦР И ПСО, приобретено имущество, а также обеспечено содержание имущества, находящегося в муниципальной собственности, проведено обслуживание компьютерных программ, транспортные средства будут оборудованы аппаратурой спутниковой навигации, обеспечен вывоз отходов, проведены мероприятия по повышения квалификации руководящих и педагогических работников.</w:t>
      </w:r>
      <w:proofErr w:type="gramEnd"/>
    </w:p>
    <w:p w:rsidR="00AC424C" w:rsidRDefault="007A2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7A2FD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МКУ ЦР и ПСО.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реализации Программы.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будет обеспечена деятельность отдела образования, в т.ч.: выплачена заработная плата работникам отдела образования, в установленные сроки произведена уплата налогов и закупка товаров для нужд отдела образования, а также освоены все средства, предусмотренные на реализацию Программы.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AC424C" w:rsidRDefault="007A2FDB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Соисполнителем основного мероприятия Подпрограммы является МКУ ЦР и ПСО.</w:t>
      </w:r>
    </w:p>
    <w:p w:rsidR="00AC424C" w:rsidRDefault="007A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составит 114 626,58 тыс. рублей всего, в том числе по источникам финансового обеспечения:</w:t>
      </w:r>
    </w:p>
    <w:p w:rsidR="00AC424C" w:rsidRDefault="00AC4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рублей;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округа –114 626,58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18 963,63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19132,59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19 132,59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19 132,59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2025 году – 19 132,59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19 132,59 тыс. рублей;</w:t>
      </w:r>
    </w:p>
    <w:p w:rsidR="00AC424C" w:rsidRDefault="00AC424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 бюджета округа- 0,00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рублей;</w:t>
      </w:r>
    </w:p>
    <w:p w:rsidR="00AC424C" w:rsidRDefault="00AC42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подпрограммы- 0,00 тыс. рублей, в том числе по годам: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AC424C" w:rsidRDefault="007A2F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 – 0,00 тыс. рублей.</w:t>
      </w:r>
    </w:p>
    <w:p w:rsidR="00AC424C" w:rsidRDefault="00AC424C">
      <w:pPr>
        <w:widowControl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C424C" w:rsidSect="00C6013F">
          <w:pgSz w:w="11906" w:h="16838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</w:p>
    <w:p w:rsidR="00AC424C" w:rsidRDefault="007A2FD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6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jc w:val="right"/>
        <w:rPr>
          <w:szCs w:val="24"/>
        </w:rPr>
      </w:pPr>
    </w:p>
    <w:p w:rsidR="00AC424C" w:rsidRDefault="00AC424C">
      <w:pPr>
        <w:pStyle w:val="ConsPlusNormal"/>
        <w:spacing w:line="240" w:lineRule="exact"/>
        <w:rPr>
          <w:szCs w:val="24"/>
        </w:rPr>
      </w:pPr>
    </w:p>
    <w:p w:rsidR="00AC424C" w:rsidRDefault="007A2FDB">
      <w:pPr>
        <w:pStyle w:val="ConsPlusNormal"/>
        <w:spacing w:line="240" w:lineRule="exact"/>
        <w:jc w:val="center"/>
        <w:outlineLvl w:val="0"/>
        <w:rPr>
          <w:szCs w:val="24"/>
        </w:rPr>
      </w:pPr>
      <w:bookmarkStart w:id="3" w:name="P297"/>
      <w:bookmarkEnd w:id="3"/>
      <w:r>
        <w:rPr>
          <w:szCs w:val="24"/>
        </w:rPr>
        <w:t>СВЕДЕНИЯ</w:t>
      </w:r>
    </w:p>
    <w:p w:rsidR="00AC424C" w:rsidRDefault="007A2F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Cs w:val="24"/>
        </w:rPr>
      </w:pPr>
      <w:r>
        <w:rPr>
          <w:b/>
          <w:szCs w:val="24"/>
        </w:rPr>
        <w:t>«</w:t>
      </w:r>
      <w:r>
        <w:rPr>
          <w:szCs w:val="24"/>
        </w:rPr>
        <w:t xml:space="preserve">Развитие образования» и </w:t>
      </w:r>
      <w:proofErr w:type="gramStart"/>
      <w:r>
        <w:rPr>
          <w:szCs w:val="24"/>
        </w:rPr>
        <w:t>показателях</w:t>
      </w:r>
      <w:proofErr w:type="gramEnd"/>
      <w:r>
        <w:rPr>
          <w:szCs w:val="24"/>
        </w:rPr>
        <w:t xml:space="preserve"> решения задач подпрограмм Программы и их значениях</w:t>
      </w:r>
    </w:p>
    <w:p w:rsidR="00AC424C" w:rsidRDefault="00AC424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CellMar>
          <w:left w:w="75" w:type="dxa"/>
          <w:right w:w="75" w:type="dxa"/>
        </w:tblCellMar>
        <w:tblLook w:val="0000"/>
      </w:tblPr>
      <w:tblGrid>
        <w:gridCol w:w="562"/>
        <w:gridCol w:w="2968"/>
        <w:gridCol w:w="1275"/>
        <w:gridCol w:w="1270"/>
        <w:gridCol w:w="138"/>
        <w:gridCol w:w="1132"/>
        <w:gridCol w:w="1270"/>
        <w:gridCol w:w="1270"/>
        <w:gridCol w:w="1269"/>
        <w:gridCol w:w="1130"/>
        <w:gridCol w:w="139"/>
        <w:gridCol w:w="1269"/>
        <w:gridCol w:w="1050"/>
      </w:tblGrid>
      <w:tr w:rsidR="00AC424C" w:rsidTr="002D6877">
        <w:trPr>
          <w:trHeight w:val="6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C424C" w:rsidTr="002D68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4C" w:rsidTr="002D6877">
        <w:trPr>
          <w:trHeight w:val="54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федеральным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стандартам общего 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2D6877">
        <w:trPr>
          <w:trHeight w:val="3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C424C" w:rsidTr="002D6877">
        <w:trPr>
          <w:trHeight w:val="36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Программы «Развитие общего образования»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посещающих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  <w:p w:rsidR="002D6877" w:rsidRDefault="002D687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 (нарастающим итогом)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</w:t>
            </w:r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на обеспечение деятельности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занятий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rPr>
          <w:trHeight w:val="2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внедрена целевая модель цифровой образовательной среды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среда» (нарастающим итогом)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задействованных в мероприятиях патриотической направленности, в общей численности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Программы «Развитие дополнительного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 значимых мероприятий, проводимых  организациями дополнительного образования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2D6877" w:rsidRDefault="002D68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AC424C" w:rsidTr="002D68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424C" w:rsidRDefault="00AC424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Приложение 7</w:t>
      </w:r>
    </w:p>
    <w:p w:rsidR="00AC424C" w:rsidRDefault="007A2FDB">
      <w:pPr>
        <w:pStyle w:val="ConsPlusNormal"/>
        <w:spacing w:line="240" w:lineRule="exact"/>
        <w:ind w:left="949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rPr>
          <w:szCs w:val="24"/>
        </w:rPr>
      </w:pPr>
    </w:p>
    <w:p w:rsidR="00AC424C" w:rsidRDefault="007A2FDB">
      <w:pPr>
        <w:pStyle w:val="ConsPlusNormal"/>
        <w:jc w:val="center"/>
        <w:outlineLvl w:val="0"/>
        <w:rPr>
          <w:szCs w:val="24"/>
        </w:rPr>
      </w:pPr>
      <w:bookmarkStart w:id="4" w:name="P403"/>
      <w:bookmarkEnd w:id="4"/>
      <w:r>
        <w:rPr>
          <w:szCs w:val="24"/>
        </w:rPr>
        <w:t>ПЕРЕЧЕНЬ</w:t>
      </w:r>
    </w:p>
    <w:p w:rsidR="00AC424C" w:rsidRDefault="007A2FD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Программы</w:t>
      </w:r>
    </w:p>
    <w:p w:rsidR="00AC424C" w:rsidRDefault="00AC424C">
      <w:pPr>
        <w:pStyle w:val="ConsPlusNormal"/>
        <w:jc w:val="center"/>
        <w:rPr>
          <w:szCs w:val="24"/>
        </w:rPr>
      </w:pPr>
    </w:p>
    <w:tbl>
      <w:tblPr>
        <w:tblW w:w="14475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537"/>
        <w:gridCol w:w="3149"/>
        <w:gridCol w:w="275"/>
        <w:gridCol w:w="2634"/>
        <w:gridCol w:w="2760"/>
        <w:gridCol w:w="1308"/>
        <w:gridCol w:w="1377"/>
        <w:gridCol w:w="2435"/>
      </w:tblGrid>
      <w:tr w:rsidR="00AC424C" w:rsidTr="002D6877">
        <w:trPr>
          <w:cantSplit/>
          <w:trHeight w:val="15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C424C" w:rsidTr="002D6877">
        <w:trPr>
          <w:cantSplit/>
          <w:trHeight w:val="469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AC424C" w:rsidRDefault="007A2FD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24C" w:rsidTr="002D6877">
        <w:trPr>
          <w:trHeight w:val="75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2D6877">
        <w:trPr>
          <w:trHeight w:val="6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</w:tr>
      <w:tr w:rsidR="00AC424C" w:rsidTr="002D6877">
        <w:trPr>
          <w:trHeight w:val="15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дошкольного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70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</w:tr>
      <w:tr w:rsidR="00AC424C" w:rsidTr="002D6877">
        <w:trPr>
          <w:trHeight w:val="711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2D6877">
        <w:trPr>
          <w:trHeight w:val="4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6-10,</w:t>
            </w:r>
            <w:r w:rsidR="0066178B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23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капитальный ремонт объектов общего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14-15, 17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спортзала, мастерской и спортивной площадки в МКОУ СОШ №5               г. Светлограда»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МКОУСОШ №5          г. Светлограда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66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11-12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18-20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21-22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15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для детей и молодежи в сфере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               МКУ ЦР и ПСО, </w:t>
            </w:r>
          </w:p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24-25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 приложения 6 к Программе</w:t>
            </w: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дополнительных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программ, обеспечение деятельности организаций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26 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 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 приложения 6 к Программе</w:t>
            </w:r>
          </w:p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5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2D6877">
        <w:trPr>
          <w:trHeight w:val="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30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47"/>
        </w:trPr>
        <w:tc>
          <w:tcPr>
            <w:tcW w:w="1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2D6877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AC424C" w:rsidRDefault="00AC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 приложения 6 к Программе</w:t>
            </w:r>
          </w:p>
          <w:p w:rsidR="00AC424C" w:rsidRDefault="00AC424C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AC424C" w:rsidRDefault="00AC424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AC424C" w:rsidRDefault="007A2F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32 приложения 6 к Программе</w:t>
            </w:r>
          </w:p>
          <w:p w:rsidR="00AC424C" w:rsidRDefault="00AC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24C" w:rsidRDefault="00AC424C">
      <w:pPr>
        <w:pStyle w:val="ConsPlusNormal"/>
        <w:rPr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7A2FDB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AC424C" w:rsidRDefault="007A2FDB" w:rsidP="002D6877">
      <w:pPr>
        <w:widowControl w:val="0"/>
        <w:spacing w:after="0" w:line="240" w:lineRule="exact"/>
        <w:ind w:left="94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</w:p>
    <w:p w:rsidR="00AC424C" w:rsidRDefault="007A2FDB" w:rsidP="002D6877">
      <w:pPr>
        <w:widowControl w:val="0"/>
        <w:spacing w:after="0" w:line="240" w:lineRule="exact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AC424C" w:rsidRDefault="00AC424C">
      <w:pPr>
        <w:pStyle w:val="ConsPlusNormal"/>
        <w:jc w:val="right"/>
        <w:rPr>
          <w:sz w:val="28"/>
          <w:szCs w:val="28"/>
        </w:rPr>
      </w:pP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741" w:type="dxa"/>
        <w:tblInd w:w="109" w:type="dxa"/>
        <w:tblLook w:val="00A0"/>
      </w:tblPr>
      <w:tblGrid>
        <w:gridCol w:w="710"/>
        <w:gridCol w:w="2550"/>
        <w:gridCol w:w="3118"/>
        <w:gridCol w:w="1276"/>
        <w:gridCol w:w="1417"/>
        <w:gridCol w:w="1418"/>
        <w:gridCol w:w="1417"/>
        <w:gridCol w:w="1418"/>
        <w:gridCol w:w="1417"/>
      </w:tblGrid>
      <w:tr w:rsidR="00AC424C" w:rsidTr="002D68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AC424C" w:rsidTr="002D68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C424C" w:rsidTr="002D68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C424C" w:rsidRDefault="00AC424C">
      <w:pPr>
        <w:rPr>
          <w:rFonts w:ascii="Times New Roman" w:hAnsi="Times New Roman" w:cs="Times New Roman"/>
          <w:vanish/>
          <w:sz w:val="4"/>
        </w:rPr>
      </w:pPr>
    </w:p>
    <w:tbl>
      <w:tblPr>
        <w:tblpPr w:leftFromText="180" w:rightFromText="180" w:vertAnchor="text" w:tblpX="80" w:tblpY="1"/>
        <w:tblW w:w="14850" w:type="dxa"/>
        <w:tblLook w:val="00A0"/>
      </w:tblPr>
      <w:tblGrid>
        <w:gridCol w:w="675"/>
        <w:gridCol w:w="2552"/>
        <w:gridCol w:w="3118"/>
        <w:gridCol w:w="1296"/>
        <w:gridCol w:w="1539"/>
        <w:gridCol w:w="1418"/>
        <w:gridCol w:w="1417"/>
        <w:gridCol w:w="1418"/>
        <w:gridCol w:w="1417"/>
      </w:tblGrid>
      <w:tr w:rsidR="00AC424C" w:rsidTr="002D6877">
        <w:trPr>
          <w:trHeight w:val="2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Петровского  городского округа  Ставропольского края (далее – бюджет округа), в т.ч.</w:t>
            </w:r>
          </w:p>
          <w:p w:rsidR="002D6877" w:rsidRDefault="002D6877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846 405,76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853 636,77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410 172,80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415 664,70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 - 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436 232,96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437 972,07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435948,68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437 687,79</w:t>
            </w:r>
          </w:p>
        </w:tc>
      </w:tr>
      <w:tr w:rsidR="00AC424C" w:rsidTr="002D6877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Петровского городского округа Ставропольского края (далее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359 232,67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362 640,77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152 403,29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149 601,78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493F2D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2D">
              <w:rPr>
                <w:rFonts w:ascii="Times New Roman" w:hAnsi="Times New Roman" w:cs="Times New Roman"/>
                <w:sz w:val="24"/>
                <w:szCs w:val="24"/>
              </w:rPr>
              <w:t>152 403,2</w:t>
            </w:r>
            <w:r w:rsidR="00493F2D" w:rsidRPr="0049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209 630,89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210 237,48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420 145,40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423 786,52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260 449,05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263 139,44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159 696,35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160 647,08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418 413,36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421 702,05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258 803,61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261 159,19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159 609,75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160 542,86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16F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6F" w:rsidRDefault="0049616F" w:rsidP="004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общего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в МКОУ СОШ №5 г. Светлограда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EB11E7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2 084,47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1 645,44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1 980,25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42 421,88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42 456,06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42 299,91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42 334,09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и интеллектуальных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5 620,83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5357,90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1 574,63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18 963,63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19 132,59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11 879,00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12 036,52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7 084,63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7 096,07</w:t>
            </w:r>
          </w:p>
        </w:tc>
      </w:tr>
      <w:tr w:rsidR="00AC424C" w:rsidTr="002D68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rPr>
          <w:rFonts w:ascii="Times New Roman" w:hAnsi="Times New Roman" w:cs="Times New Roman"/>
        </w:rPr>
      </w:pPr>
    </w:p>
    <w:p w:rsidR="00F06044" w:rsidRDefault="00F06044">
      <w:pPr>
        <w:rPr>
          <w:rFonts w:ascii="Times New Roman" w:hAnsi="Times New Roman" w:cs="Times New Roman"/>
        </w:rPr>
      </w:pPr>
    </w:p>
    <w:p w:rsidR="00AC424C" w:rsidRDefault="007A2F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9</w:t>
      </w:r>
    </w:p>
    <w:p w:rsidR="00AC424C" w:rsidRDefault="007A2FDB">
      <w:pPr>
        <w:widowControl w:val="0"/>
        <w:spacing w:after="0" w:line="240" w:lineRule="exact"/>
        <w:ind w:left="87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</w:t>
      </w:r>
    </w:p>
    <w:p w:rsidR="00AC424C" w:rsidRDefault="007A2FDB">
      <w:pPr>
        <w:widowControl w:val="0"/>
        <w:spacing w:after="0" w:line="240" w:lineRule="exact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AC424C" w:rsidRDefault="007A2FDB">
      <w:pPr>
        <w:widowControl w:val="0"/>
        <w:spacing w:after="0" w:line="240" w:lineRule="exact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AC424C" w:rsidRDefault="00AC42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424C" w:rsidRDefault="00AC42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424C" w:rsidRDefault="007A2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AC424C" w:rsidRDefault="007A2FDB" w:rsidP="002D68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вдостижении той же цели Программы</w:t>
      </w:r>
    </w:p>
    <w:p w:rsidR="00AC424C" w:rsidRDefault="00AC42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21"/>
        <w:gridCol w:w="1276"/>
        <w:gridCol w:w="1415"/>
        <w:gridCol w:w="1417"/>
        <w:gridCol w:w="1559"/>
        <w:gridCol w:w="1415"/>
        <w:gridCol w:w="1281"/>
      </w:tblGrid>
      <w:tr w:rsidR="00AC424C" w:rsidTr="006C50DA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Программы, 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Программы, по годам</w:t>
            </w:r>
          </w:p>
        </w:tc>
      </w:tr>
      <w:tr w:rsidR="00AC424C" w:rsidTr="006C50DA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C424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в системе дошкольного, общего и дополнительного образования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3 Программы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424C" w:rsidRDefault="00AC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 «Обеспечение доступности и повышение качества дополнительного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детей в округе»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занятости несовершеннолетних»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C424C" w:rsidTr="006C50DA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</w:tc>
      </w:tr>
      <w:tr w:rsidR="00AC424C" w:rsidTr="006C50D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AC424C" w:rsidRDefault="00AC4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</w:pPr>
    </w:p>
    <w:sectPr w:rsidR="00AC424C" w:rsidSect="002D6877">
      <w:headerReference w:type="default" r:id="rId8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E7" w:rsidRDefault="00EB11E7">
      <w:pPr>
        <w:spacing w:after="0" w:line="240" w:lineRule="auto"/>
      </w:pPr>
      <w:r>
        <w:separator/>
      </w:r>
    </w:p>
  </w:endnote>
  <w:endnote w:type="continuationSeparator" w:id="1">
    <w:p w:rsidR="00EB11E7" w:rsidRDefault="00EB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E7" w:rsidRDefault="00EB11E7">
      <w:pPr>
        <w:spacing w:after="0" w:line="240" w:lineRule="auto"/>
      </w:pPr>
      <w:r>
        <w:separator/>
      </w:r>
    </w:p>
  </w:footnote>
  <w:footnote w:type="continuationSeparator" w:id="1">
    <w:p w:rsidR="00EB11E7" w:rsidRDefault="00EB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E7" w:rsidRDefault="00EB11E7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24C"/>
    <w:rsid w:val="0009563D"/>
    <w:rsid w:val="0029231E"/>
    <w:rsid w:val="002D6877"/>
    <w:rsid w:val="00334835"/>
    <w:rsid w:val="00354CED"/>
    <w:rsid w:val="00433F61"/>
    <w:rsid w:val="00450B60"/>
    <w:rsid w:val="004836F7"/>
    <w:rsid w:val="00493F2D"/>
    <w:rsid w:val="0049616F"/>
    <w:rsid w:val="0066178B"/>
    <w:rsid w:val="006807B4"/>
    <w:rsid w:val="006C50DA"/>
    <w:rsid w:val="006E46BD"/>
    <w:rsid w:val="007314BF"/>
    <w:rsid w:val="007A2FDB"/>
    <w:rsid w:val="007B79A0"/>
    <w:rsid w:val="007E3C4D"/>
    <w:rsid w:val="00850B18"/>
    <w:rsid w:val="00880322"/>
    <w:rsid w:val="00895411"/>
    <w:rsid w:val="00951997"/>
    <w:rsid w:val="00A96DB6"/>
    <w:rsid w:val="00AC424C"/>
    <w:rsid w:val="00AF3F9C"/>
    <w:rsid w:val="00B726FC"/>
    <w:rsid w:val="00BA0D2C"/>
    <w:rsid w:val="00BF73F3"/>
    <w:rsid w:val="00C6013F"/>
    <w:rsid w:val="00C9770E"/>
    <w:rsid w:val="00D249E6"/>
    <w:rsid w:val="00E126D8"/>
    <w:rsid w:val="00EB11E7"/>
    <w:rsid w:val="00F06044"/>
    <w:rsid w:val="00F4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ac">
    <w:name w:val="Заголовок"/>
    <w:basedOn w:val="a"/>
    <w:next w:val="ad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d">
    <w:name w:val="Body Text"/>
    <w:basedOn w:val="a"/>
    <w:semiHidden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sid w:val="00AF3F9C"/>
    <w:rPr>
      <w:rFonts w:cs="Droid Sans Devanagari"/>
    </w:rPr>
  </w:style>
  <w:style w:type="paragraph" w:styleId="af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1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Document Map"/>
    <w:basedOn w:val="a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link w:val="20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e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ac">
    <w:name w:val="Заголовок"/>
    <w:basedOn w:val="a"/>
    <w:next w:val="ad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d">
    <w:name w:val="Body Text"/>
    <w:basedOn w:val="a"/>
    <w:semiHidden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d"/>
    <w:rsid w:val="00AF3F9C"/>
    <w:rPr>
      <w:rFonts w:cs="Droid Sans Devanagari"/>
    </w:rPr>
  </w:style>
  <w:style w:type="paragraph" w:styleId="af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1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Document Map"/>
    <w:basedOn w:val="a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link w:val="20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e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B5C4835FD56C51A633120F1AF30F2DE8C417B7CA41F661E2A5ACC1465A352D3F76134C824AD25b40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4148-DD5D-41A3-9930-F3D111B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15500</Words>
  <Characters>88350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3</cp:revision>
  <cp:lastPrinted>2020-11-16T08:18:00Z</cp:lastPrinted>
  <dcterms:created xsi:type="dcterms:W3CDTF">2020-11-16T08:19:00Z</dcterms:created>
  <dcterms:modified xsi:type="dcterms:W3CDTF">2020-11-16T13:01:00Z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