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DA0985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:rsidTr="00485BDE">
        <w:trPr>
          <w:trHeight w:val="208"/>
        </w:trPr>
        <w:tc>
          <w:tcPr>
            <w:tcW w:w="3063" w:type="dxa"/>
          </w:tcPr>
          <w:p w:rsidR="002925FD" w:rsidRPr="00DA0985" w:rsidRDefault="006B18D6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 мая 2020 г.</w:t>
            </w:r>
          </w:p>
        </w:tc>
        <w:tc>
          <w:tcPr>
            <w:tcW w:w="3171" w:type="dxa"/>
          </w:tcPr>
          <w:p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0985" w:rsidRDefault="006B18D6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605</w:t>
            </w:r>
          </w:p>
        </w:tc>
      </w:tr>
    </w:tbl>
    <w:p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года № 24 (в редакции от 26 декабря 2019 г. № 2691)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985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DA0985">
        <w:rPr>
          <w:rFonts w:eastAsia="Calibri"/>
          <w:sz w:val="28"/>
          <w:lang w:eastAsia="en-US"/>
        </w:rPr>
        <w:t xml:space="preserve">, </w:t>
      </w:r>
      <w:proofErr w:type="gramStart"/>
      <w:r w:rsidRPr="00DA0985">
        <w:rPr>
          <w:rFonts w:eastAsia="Calibri"/>
          <w:sz w:val="28"/>
          <w:lang w:eastAsia="en-US"/>
        </w:rPr>
        <w:t>от 11 января 2019 г. № 9, от 08 августа 2019 года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571-р, от 04 декабря 2018 года № 656-р, от 20 сентября 2019 года № 554-р</w:t>
      </w:r>
      <w:proofErr w:type="gramEnd"/>
      <w:r w:rsidRPr="00DA0985">
        <w:rPr>
          <w:rFonts w:eastAsia="Calibri"/>
          <w:sz w:val="28"/>
          <w:lang w:eastAsia="en-US"/>
        </w:rPr>
        <w:t xml:space="preserve">), решением Совета депутатов Петровского городского округа Ставропольского края от 16 января 2020 года № 2 «О внесении изменений в решение Совета депутатов </w:t>
      </w:r>
      <w:r w:rsidRPr="00DA0985">
        <w:rPr>
          <w:sz w:val="28"/>
          <w:szCs w:val="28"/>
        </w:rPr>
        <w:t xml:space="preserve">Петровского городского округа Ставропольского края от 12 декабря 2019 года № 97 </w:t>
      </w:r>
      <w:r w:rsidRPr="00DA0985">
        <w:rPr>
          <w:rFonts w:eastAsia="Calibri"/>
          <w:sz w:val="28"/>
          <w:lang w:eastAsia="en-US"/>
        </w:rPr>
        <w:t>«</w:t>
      </w:r>
      <w:r w:rsidRPr="00DA0985">
        <w:rPr>
          <w:sz w:val="28"/>
          <w:szCs w:val="28"/>
        </w:rPr>
        <w:t xml:space="preserve">О бюджете Петровского городского округа Ставропольского края на 2020 год и плановый период 2021 и 2022 годов» </w:t>
      </w:r>
      <w:r w:rsidRPr="00DA0985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98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29 декабря 2017 г. № 24 </w:t>
      </w:r>
      <w:r w:rsidRPr="00DA0985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A0985">
        <w:rPr>
          <w:rFonts w:ascii="Times New Roman" w:hAnsi="Times New Roman" w:cs="Times New Roman"/>
          <w:sz w:val="28"/>
          <w:szCs w:val="28"/>
        </w:rPr>
        <w:t xml:space="preserve">«Межнациональные </w:t>
      </w:r>
      <w:r w:rsidRPr="00DA0985">
        <w:rPr>
          <w:rFonts w:ascii="Times New Roman" w:hAnsi="Times New Roman" w:cs="Times New Roman"/>
          <w:sz w:val="28"/>
          <w:szCs w:val="28"/>
        </w:rPr>
        <w:lastRenderedPageBreak/>
        <w:t>отношения, профилактика правонарушений, терроризма и поддержка казачества» (в редакции от 26 декабря 2019 г. № 2691).</w:t>
      </w:r>
      <w:proofErr w:type="gramEnd"/>
    </w:p>
    <w:p w:rsidR="001E7F9F" w:rsidRPr="00DA0985" w:rsidRDefault="001E7F9F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0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9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1E7F9F" w:rsidRPr="00DA0985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A0985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A0985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C71C09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925FD" w:rsidRPr="00C71C09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2925FD" w:rsidRPr="00C71C09" w:rsidRDefault="000B2344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2925FD"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925FD" w:rsidRPr="00C71C09" w:rsidRDefault="002925FD" w:rsidP="0078276B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925FD" w:rsidRPr="00C71C09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  <w:r w:rsidRPr="00C71C09">
        <w:rPr>
          <w:rFonts w:ascii="Times New Roman" w:hAnsi="Times New Roman" w:cs="Times New Roman"/>
          <w:color w:val="FFFFFF" w:themeColor="background1"/>
          <w:sz w:val="28"/>
        </w:rPr>
        <w:t xml:space="preserve">– </w:t>
      </w:r>
    </w:p>
    <w:p w:rsidR="002925FD" w:rsidRPr="00C71C09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</w:rPr>
        <w:t xml:space="preserve">начальник финансового управления </w:t>
      </w:r>
    </w:p>
    <w:p w:rsidR="002925FD" w:rsidRPr="00C71C09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</w:rPr>
        <w:t xml:space="preserve">администрации </w:t>
      </w:r>
      <w:proofErr w:type="gramStart"/>
      <w:r w:rsidRPr="00C71C09">
        <w:rPr>
          <w:rFonts w:ascii="Times New Roman" w:hAnsi="Times New Roman" w:cs="Times New Roman"/>
          <w:color w:val="FFFFFF" w:themeColor="background1"/>
          <w:sz w:val="28"/>
        </w:rPr>
        <w:t>Петровского</w:t>
      </w:r>
      <w:proofErr w:type="gramEnd"/>
    </w:p>
    <w:p w:rsidR="002925FD" w:rsidRPr="00C71C09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</w:rPr>
        <w:t xml:space="preserve">городского округа </w:t>
      </w:r>
    </w:p>
    <w:p w:rsidR="002925FD" w:rsidRPr="00C71C09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</w:rPr>
        <w:t>Ставропольского края</w:t>
      </w:r>
      <w:r w:rsidR="000B2344" w:rsidRPr="00C71C09">
        <w:rPr>
          <w:rFonts w:ascii="Times New Roman" w:hAnsi="Times New Roman" w:cs="Times New Roman"/>
          <w:color w:val="FFFFFF" w:themeColor="background1"/>
          <w:sz w:val="28"/>
        </w:rPr>
        <w:t xml:space="preserve">                                                                </w:t>
      </w:r>
      <w:proofErr w:type="spellStart"/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78276B" w:rsidRPr="00C71C09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276B" w:rsidRPr="00C71C09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276B" w:rsidRPr="00C71C09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78276B" w:rsidRPr="00C71C09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78276B" w:rsidRPr="00C71C09" w:rsidRDefault="0078276B" w:rsidP="0078276B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C71C09">
        <w:rPr>
          <w:rFonts w:ascii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2925FD" w:rsidRPr="00C71C09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2925FD" w:rsidRPr="00C71C09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2925FD" w:rsidRPr="00C71C09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администрации </w:t>
      </w:r>
      <w:proofErr w:type="gramStart"/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Петровского</w:t>
      </w:r>
      <w:proofErr w:type="gramEnd"/>
    </w:p>
    <w:p w:rsidR="002925FD" w:rsidRPr="00C71C09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2925FD" w:rsidRPr="00C71C09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Ставропольского края                         </w:t>
      </w:r>
      <w:r w:rsidR="000B2344"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      </w:t>
      </w:r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</w:t>
      </w:r>
      <w:proofErr w:type="spellStart"/>
      <w:r w:rsidRPr="00C71C0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2925FD" w:rsidRPr="00C71C09" w:rsidRDefault="002925FD" w:rsidP="002925FD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25FD" w:rsidRPr="00C71C09" w:rsidRDefault="002925FD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отдела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О.А.Нехаенко</w:t>
      </w:r>
      <w:proofErr w:type="spellEnd"/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0B2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</w:t>
      </w:r>
      <w:r w:rsidR="001E7F9F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r w:rsidR="000B2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правонарушений </w:t>
      </w:r>
    </w:p>
    <w:p w:rsidR="002925FD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0B2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</w:pPr>
      <w:r w:rsidRPr="00DA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233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9233AF">
        <w:rPr>
          <w:rFonts w:ascii="Times New Roman" w:hAnsi="Times New Roman" w:cs="Times New Roman"/>
          <w:sz w:val="28"/>
          <w:szCs w:val="28"/>
        </w:rPr>
        <w:t>А.П.Алексеев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C71C09" w:rsidP="00C71C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12 мая 2020 г. № 605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A0985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Програ</w:t>
      </w:r>
      <w:bookmarkStart w:id="0" w:name="_GoBack"/>
      <w:bookmarkEnd w:id="0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27867" w:rsidRPr="00DA0985" w:rsidRDefault="00127867" w:rsidP="00127867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2482"/>
        <w:gridCol w:w="6983"/>
      </w:tblGrid>
      <w:tr w:rsidR="00127867" w:rsidRPr="00DA0985" w:rsidTr="00485BDE">
        <w:tc>
          <w:tcPr>
            <w:tcW w:w="248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127867" w:rsidRPr="00DA0985" w:rsidRDefault="00127867" w:rsidP="00485B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76480,16 тыс. рублей,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11738,32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44,20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. – 2270,14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8996,51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142,49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64741,84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7746,85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15308,74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2020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10418,13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2021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10227,54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2022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10520,29 0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2023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10520,29 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1E7F9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 В Приложении 1 «Сведения об индикаторах достижения целей муниципальной программы и показателях решения задач подпрограмм Программы и их значениях» к Программе:</w:t>
      </w: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2.1. В графе 2 пункта 4 слова «Увеличение участников мероприятий, направленных на повышение уровня этнокультурной компетентности, общероссийской гражданственности в сравнении с 2018 годом» заменить словами: «Увеличение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="009928D5" w:rsidRPr="00DA09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2018 годом».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2.2. В графах 8-11 пункта 22 цифры «3»; «2»; «2»; «1» заменить соответственно знаками «</w:t>
      </w:r>
      <w:proofErr w:type="gramStart"/>
      <w:r w:rsidRPr="00DA0985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DA0985">
        <w:rPr>
          <w:rFonts w:ascii="Times New Roman" w:eastAsia="Times New Roman" w:hAnsi="Times New Roman" w:cs="Times New Roman"/>
          <w:sz w:val="28"/>
          <w:szCs w:val="28"/>
        </w:rPr>
        <w:t>; «-»; «-»; «-».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3. Приложение 2 «Перечень основных мероприятий подпрограмм Программы» к Программе изложить в новой редакции согласно  Приложению 1 к настоящим изменениям.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4. Приложение 3 «Объемы и источники финансового обеспечения Программы» к Программе изложить в новой редакции согласно  Приложению 2 к настоящим изменениям.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«Гармонизация межнациональных и </w:t>
      </w:r>
      <w:proofErr w:type="spellStart"/>
      <w:r w:rsidRPr="00DA0985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подпрограммы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E7F9F" w:rsidRPr="00DA0985" w:rsidRDefault="001E7F9F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127867" w:rsidRPr="00DA0985" w:rsidTr="00485BDE">
        <w:tc>
          <w:tcPr>
            <w:tcW w:w="411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«Объемы и источники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857,04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краевой бюджет – 500,00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100,00 тыс. рублей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357,04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56,00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56,00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61,26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6. В паспорте подпрограммы «Профилактика правонарушений и незаконного оборота наркотиков»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подпрограммы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127867" w:rsidRPr="00DA0985" w:rsidTr="00485BDE">
        <w:tc>
          <w:tcPr>
            <w:tcW w:w="411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«Объемы и источники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финансового</w:t>
            </w:r>
            <w:proofErr w:type="gramEnd"/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составит 1883,53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1124,30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44,20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910,14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759,23 тыс. рублей, в том числе по годам: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 год – 100,00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2019 год – 301,63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2020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7. В приложении 8 «Подпрограмма «Антитеррористическая защищенность и защита населения и территории от чрезвычайных ситуаций» к Программе (для целей настоящего пункта - Подпрограмма):</w:t>
      </w: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7.1. В паспорте Подпрограммы позицию «Объемы и источники финансового обеспечения подпрограммы»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7867" w:rsidRPr="00DA0985" w:rsidTr="00485BDE">
        <w:tc>
          <w:tcPr>
            <w:tcW w:w="4253" w:type="dxa"/>
          </w:tcPr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«Объемы и источники </w:t>
            </w:r>
            <w:proofErr w:type="gramStart"/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72499,59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10114,02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1260,00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8854,02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62385,57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7390,85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14751,11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10057,47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9866,88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7.2. В разделе «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» Подпрограммы пункт «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C72668" w:rsidRPr="00DA0985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lastRenderedPageBreak/>
        <w:t>«2) Повышение уровня безопасности населения округа и защищенности критически важных объектов от террористических угроз.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- обустройство образовательных организаций целостными </w:t>
      </w:r>
      <w:proofErr w:type="spellStart"/>
      <w:r w:rsidRPr="00DA0985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увеличение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доли образовательных организаций, обустроенных целостными </w:t>
      </w:r>
      <w:proofErr w:type="spellStart"/>
      <w:r w:rsidRPr="00DA0985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</w:t>
      </w:r>
      <w:proofErr w:type="gramStart"/>
      <w:r w:rsidRPr="00DA0985">
        <w:rPr>
          <w:rFonts w:ascii="Times New Roman" w:eastAsia="Lucida Sans Unicode" w:hAnsi="Times New Roman" w:cs="Times New Roman"/>
          <w:sz w:val="28"/>
          <w:szCs w:val="28"/>
        </w:rPr>
        <w:t>.».</w:t>
      </w:r>
      <w:proofErr w:type="gramEnd"/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Заместитель главы администрации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  <w:proofErr w:type="spellEnd"/>
    </w:p>
    <w:p w:rsidR="00B7364E" w:rsidRPr="00DA0985" w:rsidRDefault="00B7364E">
      <w:pPr>
        <w:sectPr w:rsidR="00B7364E" w:rsidRPr="00DA0985" w:rsidSect="000B234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«Приложение 2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09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0985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03"/>
      <w:bookmarkEnd w:id="1"/>
      <w:r w:rsidRPr="00DA0985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26"/>
        <w:gridCol w:w="3678"/>
        <w:gridCol w:w="2407"/>
        <w:gridCol w:w="851"/>
        <w:gridCol w:w="850"/>
        <w:gridCol w:w="3555"/>
      </w:tblGrid>
      <w:tr w:rsidR="00B7364E" w:rsidRPr="00DA0985" w:rsidTr="00485BDE">
        <w:trPr>
          <w:jc w:val="center"/>
        </w:trPr>
        <w:tc>
          <w:tcPr>
            <w:tcW w:w="600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26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78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 w:history="1">
              <w:r w:rsidRPr="00DA098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2407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555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5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555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6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8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5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Задача 1 подпрограммы 1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 «Импульс»;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1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  <w:p w:rsidR="00B7364E" w:rsidRPr="00DA0985" w:rsidRDefault="00B7364E" w:rsidP="00485BD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гармонизацию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DA098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2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казачьей культуры в округе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</w:t>
            </w:r>
            <w:r w:rsidR="00424515"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  <w:r w:rsidR="00424515"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  <w:p w:rsidR="000B2344" w:rsidRPr="00DA0985" w:rsidRDefault="000B2344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Цель 3 Программы «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trHeight w:val="591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помещений, предоставляемых </w:t>
            </w:r>
            <w:r w:rsidR="000B2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для работы сотрудник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ов, замещающих должности участкового уполномоченного полиции, на обслуживаемом административном участке</w:t>
            </w:r>
            <w:proofErr w:type="gramEnd"/>
          </w:p>
        </w:tc>
      </w:tr>
      <w:tr w:rsidR="00B7364E" w:rsidRPr="00DA0985" w:rsidTr="00485BDE">
        <w:trPr>
          <w:trHeight w:val="1300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граждан, привлеченных к мероприятиям по охране общественного порядка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64E" w:rsidRPr="00DA0985" w:rsidTr="00485BDE">
        <w:trPr>
          <w:trHeight w:val="234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3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«Организация агитационной работы, направленной на профилактику правонарушений, повышения уровня правосознания и правовой культуры населения»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Информационно-пропагандистское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профилактики правонарушений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изготовленных агитационных материалов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(календарей, плакатов и т.д.), направленных на профилактику правонарушений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социальной адаптации и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освободившихся из мест лишения свободы, а также лиц, осужденных к наказанию без изоляции от общества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УТСЗН;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ГБУ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«Петровский центр социального обслуживания»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Цель 4 Программы «Противодействие коррупции в сфере деятельности органов местного самоуправления»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4. «Противодействие коррупции в сфере деятельности органов местного самоуправления»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4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«Реализация организационно–правовых мер по формированию механизма противодействия коррупции в экономической и социальной сферах»</w:t>
            </w:r>
            <w:proofErr w:type="gramEnd"/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</w:t>
            </w:r>
            <w:proofErr w:type="gram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экспертизы проектов нормативных правовых актов администрации округа</w:t>
            </w:r>
            <w:proofErr w:type="gram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и органов администрации округа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правовой отдел;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округа,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противодействия коррупции правовых актов администрации округа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органов администрации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принятых нормативных правовых актов в соответствие с Федеральным и краевым законодательством в сфере противодействия коррупции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 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противодействия коррупции в рамках реализации законодательства о муниципальной службе»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trHeight w:val="597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коррупции, касающиеся предотвращения и урегулирования конфликта интересов, в случае их </w:t>
            </w: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несоблюдения по материалам проверки от общей численности муниципальных служащих</w:t>
            </w:r>
          </w:p>
        </w:tc>
      </w:tr>
      <w:tr w:rsidR="00B7364E" w:rsidRPr="00DA0985" w:rsidTr="00485BDE">
        <w:trPr>
          <w:trHeight w:val="2187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24515">
        <w:trPr>
          <w:trHeight w:val="1456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фактов  возможного конфликта интересов</w:t>
            </w:r>
          </w:p>
        </w:tc>
      </w:tr>
      <w:tr w:rsidR="00B7364E" w:rsidRPr="00DA0985" w:rsidTr="00485BDE">
        <w:trPr>
          <w:trHeight w:val="4097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731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должности муниципальной службы в аппарате администрации округа и органах администрации округа и урегулированию конфликта интересов 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</w:rPr>
              <w:t>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</w:p>
        </w:tc>
      </w:tr>
      <w:tr w:rsidR="00B7364E" w:rsidRPr="00DA0985" w:rsidTr="00485BDE">
        <w:trPr>
          <w:trHeight w:val="230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049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сообщений на «Телефон доверия главы округа»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B7364E" w:rsidRPr="00DA0985" w:rsidTr="00485BDE">
        <w:trPr>
          <w:trHeight w:val="2048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1732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обращений, жалоб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B7364E" w:rsidRPr="00DA0985" w:rsidTr="00485BDE">
        <w:trPr>
          <w:trHeight w:val="1731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723"/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по организационно-кадровым вопросам 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служащих, в должностные обязанности которых входит участие в противодействии коррупции, получивших удостоверение о повышении квалификации по образовательным программам в области противодействия коррупции</w:t>
            </w:r>
          </w:p>
        </w:tc>
      </w:tr>
      <w:tr w:rsidR="00B7364E" w:rsidRPr="00DA0985" w:rsidTr="00485BDE">
        <w:trPr>
          <w:trHeight w:val="2161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доля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получивших удостоверение о повышении </w:t>
            </w:r>
            <w:proofErr w:type="spell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квалификациипо</w:t>
            </w:r>
            <w:proofErr w:type="spell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образовательным программам в области противодействия коррупции</w:t>
            </w:r>
          </w:p>
        </w:tc>
      </w:tr>
      <w:tr w:rsidR="00B7364E" w:rsidRPr="00DA0985" w:rsidTr="00485BDE">
        <w:trPr>
          <w:trHeight w:val="2194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антикоррупционной пропаганды,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предупреждения коррупционных проявлений, минимизации и ликвидации их последствий в сферах деятельности органов местного самоуправления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вопросов антикоррупционного просвещения и пропаганды на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совещаниях, советах, учебах аппарата и органов администрации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организационно-кадровым вопросам;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отделы и органы администрации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Петровского городского округа Ставропольского края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рассмотренных вопросов антикоррупционной пропаганды в администрации Петровского городского округа Ставропольского края;</w:t>
            </w:r>
          </w:p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trHeight w:val="2009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информации,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освещающей вопросы противодействия коррупции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trHeight w:val="2009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trHeight w:val="1922"/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комплекса мер по предупреждению и минимизации бытовой коррупции в сферах деятельности отделов и органов администрации округа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муниципального хозяйства;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имущественных и земельных отношений;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жилищного учета, строительства и муниципального контроля;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планирования территорий и землеустройства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муниципальных нужд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муниципальные образовательные организации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5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5. «Антитеррористическая защищенность и защита населения и территории от чрезвычайных ситуаций»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5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«Аварийно-спасательное формирование Петровского городского округа Ставропольского края»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B7364E" w:rsidRPr="00DA0985" w:rsidTr="00485BDE">
        <w:trPr>
          <w:trHeight w:val="308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безопасности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округа и защищенности критически важных объектов от террористических угроз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объем привлеченных из федерального и краевого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lastRenderedPageBreak/>
              <w:t>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</w:tr>
      <w:tr w:rsidR="00B7364E" w:rsidRPr="00DA0985" w:rsidTr="00485BDE">
        <w:trPr>
          <w:trHeight w:val="114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B7364E" w:rsidRPr="00DA0985" w:rsidTr="00485BDE">
        <w:trPr>
          <w:trHeight w:val="2023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периметральными</w:t>
            </w:r>
            <w:proofErr w:type="spellEnd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Предупреждение и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ликвидация чрезвычайных ситуаций и стихийных бедствий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мероприятий,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аварийно-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спасательное формирование;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доля населения округа,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lastRenderedPageBreak/>
              <w:t>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</w:tr>
    </w:tbl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043"/>
      <w:bookmarkEnd w:id="2"/>
      <w:r w:rsidRPr="00DA09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4191F" w:rsidRPr="00DA0985" w:rsidRDefault="0044191F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«Приложение 3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09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0985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44191F" w:rsidRPr="00DA0985" w:rsidRDefault="0044191F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533"/>
      <w:bookmarkEnd w:id="3"/>
      <w:r w:rsidRPr="00DA0985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402"/>
        <w:gridCol w:w="1134"/>
        <w:gridCol w:w="1134"/>
        <w:gridCol w:w="1134"/>
        <w:gridCol w:w="1135"/>
        <w:gridCol w:w="1133"/>
        <w:gridCol w:w="1134"/>
      </w:tblGrid>
      <w:tr w:rsidR="0044191F" w:rsidRPr="00DA0985" w:rsidTr="00485BDE">
        <w:tc>
          <w:tcPr>
            <w:tcW w:w="851" w:type="dxa"/>
            <w:vMerge w:val="restart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4191F" w:rsidRPr="00DA0985" w:rsidRDefault="0044191F" w:rsidP="001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</w:p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4191F" w:rsidRPr="00DA0985" w:rsidTr="00485BDE">
        <w:trPr>
          <w:trHeight w:val="1275"/>
        </w:trPr>
        <w:tc>
          <w:tcPr>
            <w:tcW w:w="851" w:type="dxa"/>
            <w:vMerge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4191F" w:rsidRPr="00DA0985" w:rsidTr="00485BDE">
        <w:trPr>
          <w:trHeight w:val="208"/>
        </w:trPr>
        <w:tc>
          <w:tcPr>
            <w:tcW w:w="851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4191F" w:rsidRPr="00DA0985" w:rsidRDefault="0044191F" w:rsidP="001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91F" w:rsidRPr="00DA0985" w:rsidTr="00485BDE">
        <w:trPr>
          <w:trHeight w:val="202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«Межнациональные отношения, профилактика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терроризма и поддержка казачества»,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7791,05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19414,64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10370,03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</w:tr>
      <w:tr w:rsidR="0044191F" w:rsidRPr="00DA0985" w:rsidTr="00485BDE">
        <w:trPr>
          <w:trHeight w:val="2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-  бюджет округа),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7791,05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19414,64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10370,03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</w:tr>
      <w:tr w:rsidR="0044191F" w:rsidRPr="00DA0985" w:rsidTr="00485BDE">
        <w:trPr>
          <w:trHeight w:val="2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 (далее – средства краевого бюджета),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2270,14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8996,51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2129,95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7746,85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15308,74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10418,13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10227,54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10520,29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10520,29</w:t>
            </w:r>
          </w:p>
        </w:tc>
      </w:tr>
      <w:tr w:rsidR="0044191F" w:rsidRPr="00DA0985" w:rsidTr="00485BDE">
        <w:trPr>
          <w:trHeight w:val="29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343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832,75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</w:tr>
      <w:tr w:rsidR="0044191F" w:rsidRPr="00DA0985" w:rsidTr="00485BDE">
        <w:trPr>
          <w:trHeight w:val="343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аварийно-спасательное формирование 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230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этнического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религиозного экстремизма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требует финансового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DA09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поддержка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казачьих обществ, осуществляющих свою деятельность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и незаконного оборота наркотиков»,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адаптации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0B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освободившихся из мест лишения свободы, а также лиц, осужденных к наказанию без изоляции от общества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«Противодействие коррупции в сфере деятельности органов местного самоуправления»,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</w:t>
            </w:r>
            <w:proofErr w:type="gram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экспертизы проектов нормативных правовых актов администрации округа</w:t>
            </w:r>
            <w:proofErr w:type="gram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и органов администрации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правовых актов администрации округа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администрации округа.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 xml:space="preserve">Ежегодное повышение квалификации муниципальных служащих, в должностные обязанности которых входит участие в </w:t>
            </w: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lastRenderedPageBreak/>
              <w:t>противодействии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антикоррупционного просвещения и пропаганды на совещаниях, советах, учебах аппарата и органов администрации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информации, освещающей вопросы противодействия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предупреждению и минимизации бытовой коррупции в сферах деятельности отделов и органов администрации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обеспечения муниципальных нужд 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Подпрограмма «Антитеррористическая защищенность и защита населения и территории от чрезвычайных ситуаций»,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18911,49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18911,49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14751,11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10057,47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531,12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11480,02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11480,02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rPr>
          <w:trHeight w:val="37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устройств, обеспечивающих безопасность граждан округа в местах массового пребывания людей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1422,31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/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Обустройство образовательных организаций целостными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9320,02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9320,02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4"/>
                <w:szCs w:val="24"/>
              </w:rPr>
              <w:t>Обеспечение охраны муниципальных объектов охранными предприятиями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368,81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619F5" w:rsidRPr="00DA0985" w:rsidRDefault="0044191F" w:rsidP="004419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E619F5" w:rsidRPr="00DA0985" w:rsidSect="001E7F9F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B2344"/>
    <w:rsid w:val="000B27A0"/>
    <w:rsid w:val="00127867"/>
    <w:rsid w:val="001E7F9F"/>
    <w:rsid w:val="002925FD"/>
    <w:rsid w:val="003908D3"/>
    <w:rsid w:val="00401AA8"/>
    <w:rsid w:val="00424515"/>
    <w:rsid w:val="0044191F"/>
    <w:rsid w:val="00485BDE"/>
    <w:rsid w:val="004A346E"/>
    <w:rsid w:val="0051470E"/>
    <w:rsid w:val="0058286A"/>
    <w:rsid w:val="006B18D6"/>
    <w:rsid w:val="0078276B"/>
    <w:rsid w:val="0079562B"/>
    <w:rsid w:val="009233AF"/>
    <w:rsid w:val="009928D5"/>
    <w:rsid w:val="00B7364E"/>
    <w:rsid w:val="00B81148"/>
    <w:rsid w:val="00C71C09"/>
    <w:rsid w:val="00C72668"/>
    <w:rsid w:val="00CA071C"/>
    <w:rsid w:val="00DA0985"/>
    <w:rsid w:val="00DA3B02"/>
    <w:rsid w:val="00E55566"/>
    <w:rsid w:val="00E619F5"/>
    <w:rsid w:val="00F666E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seryak</cp:lastModifiedBy>
  <cp:revision>2</cp:revision>
  <cp:lastPrinted>2020-05-13T07:50:00Z</cp:lastPrinted>
  <dcterms:created xsi:type="dcterms:W3CDTF">2020-05-13T07:51:00Z</dcterms:created>
  <dcterms:modified xsi:type="dcterms:W3CDTF">2020-05-13T07:51:00Z</dcterms:modified>
</cp:coreProperties>
</file>