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FD" w:rsidRPr="00DA0985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2925FD" w:rsidRPr="00DA0985" w:rsidTr="00485BDE">
        <w:trPr>
          <w:trHeight w:val="208"/>
        </w:trPr>
        <w:tc>
          <w:tcPr>
            <w:tcW w:w="3063" w:type="dxa"/>
          </w:tcPr>
          <w:p w:rsidR="002925FD" w:rsidRPr="00DA0985" w:rsidRDefault="002925FD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DA0985" w:rsidRDefault="002925FD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29 декабря 2017 года № 24 (в редакции от 26 декабря 2019 г. № 2691)</w:t>
      </w: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pStyle w:val="a3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0985">
        <w:rPr>
          <w:rFonts w:eastAsia="Calibri"/>
          <w:sz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</w:t>
      </w:r>
      <w:proofErr w:type="gramEnd"/>
      <w:r w:rsidRPr="00DA0985">
        <w:rPr>
          <w:rFonts w:eastAsia="Calibri"/>
          <w:sz w:val="28"/>
          <w:lang w:eastAsia="en-US"/>
        </w:rPr>
        <w:t xml:space="preserve">, </w:t>
      </w:r>
      <w:proofErr w:type="gramStart"/>
      <w:r w:rsidRPr="00DA0985">
        <w:rPr>
          <w:rFonts w:eastAsia="Calibri"/>
          <w:sz w:val="28"/>
          <w:lang w:eastAsia="en-US"/>
        </w:rPr>
        <w:t>от 11 января 2019 г. № 9, от 08 августа 2019 года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года № 571-р, от 04 декабря 2018 года № 656-р, от 20 сентября 2019 года № 554-р</w:t>
      </w:r>
      <w:proofErr w:type="gramEnd"/>
      <w:r w:rsidRPr="00DA0985">
        <w:rPr>
          <w:rFonts w:eastAsia="Calibri"/>
          <w:sz w:val="28"/>
          <w:lang w:eastAsia="en-US"/>
        </w:rPr>
        <w:t xml:space="preserve">), решением Совета депутатов Петровского городского округа Ставропольского края от 16 января 2020 года № 2 «О внесении изменений в решение Совета депутатов </w:t>
      </w:r>
      <w:r w:rsidRPr="00DA0985">
        <w:rPr>
          <w:sz w:val="28"/>
          <w:szCs w:val="28"/>
        </w:rPr>
        <w:t xml:space="preserve">Петровского городского округа Ставропольского края от 12 декабря 2019 года № 97 </w:t>
      </w:r>
      <w:r w:rsidRPr="00DA0985">
        <w:rPr>
          <w:rFonts w:eastAsia="Calibri"/>
          <w:sz w:val="28"/>
          <w:lang w:eastAsia="en-US"/>
        </w:rPr>
        <w:t>«</w:t>
      </w:r>
      <w:r w:rsidRPr="00DA0985">
        <w:rPr>
          <w:sz w:val="28"/>
          <w:szCs w:val="28"/>
        </w:rPr>
        <w:t xml:space="preserve">О бюджете Петровского городского округа Ставропольского края на 2020 год и плановый период 2021 и 2022 годов» </w:t>
      </w:r>
      <w:r w:rsidRPr="00DA0985">
        <w:rPr>
          <w:rFonts w:eastAsia="Calibri"/>
          <w:sz w:val="28"/>
          <w:lang w:eastAsia="en-US"/>
        </w:rPr>
        <w:t xml:space="preserve">администрация Петровского городского округа Ставропольского края </w:t>
      </w:r>
    </w:p>
    <w:p w:rsidR="002925FD" w:rsidRPr="00DA0985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0985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925FD" w:rsidRPr="00DA0985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0985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098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           29 декабря 2017 г. № 24 </w:t>
      </w:r>
      <w:r w:rsidRPr="00DA0985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DA0985">
        <w:rPr>
          <w:rFonts w:ascii="Times New Roman" w:hAnsi="Times New Roman" w:cs="Times New Roman"/>
          <w:sz w:val="28"/>
          <w:szCs w:val="28"/>
        </w:rPr>
        <w:t xml:space="preserve">«Межнациональные </w:t>
      </w:r>
      <w:r w:rsidRPr="00DA0985">
        <w:rPr>
          <w:rFonts w:ascii="Times New Roman" w:hAnsi="Times New Roman" w:cs="Times New Roman"/>
          <w:sz w:val="28"/>
          <w:szCs w:val="28"/>
        </w:rPr>
        <w:lastRenderedPageBreak/>
        <w:t>отношения, профилактика правонарушений, терроризма и поддержка казачества» (в редакции от 26 декабря 2019 г. № 2691).</w:t>
      </w:r>
      <w:proofErr w:type="gramEnd"/>
    </w:p>
    <w:p w:rsidR="001E7F9F" w:rsidRPr="00DA0985" w:rsidRDefault="001E7F9F" w:rsidP="002925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09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9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A0985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DA0985"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DA0985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DA0985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1E7F9F" w:rsidRPr="00DA0985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DA0985">
        <w:rPr>
          <w:rFonts w:ascii="Times New Roman" w:hAnsi="Times New Roman" w:cs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E7F9F" w:rsidRPr="00DA0985" w:rsidRDefault="001E7F9F" w:rsidP="00292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2925FD" w:rsidRPr="00DA0985" w:rsidRDefault="00013D61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2925FD" w:rsidRPr="00DA0985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2925FD" w:rsidRPr="00DA0985" w:rsidRDefault="002925FD" w:rsidP="0078276B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925FD" w:rsidRPr="00DA0985" w:rsidRDefault="002925FD" w:rsidP="0078276B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925FD" w:rsidRPr="00DA0985" w:rsidRDefault="002925FD" w:rsidP="0078276B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>Визируют:</w:t>
      </w:r>
    </w:p>
    <w:p w:rsidR="002925FD" w:rsidRPr="00DA0985" w:rsidRDefault="002925FD" w:rsidP="0078276B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78276B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Pr="00DA0985">
        <w:rPr>
          <w:rFonts w:ascii="Times New Roman" w:hAnsi="Times New Roman" w:cs="Times New Roman"/>
          <w:sz w:val="28"/>
        </w:rPr>
        <w:t xml:space="preserve">– </w:t>
      </w:r>
    </w:p>
    <w:p w:rsidR="002925FD" w:rsidRPr="00DA0985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A0985">
        <w:rPr>
          <w:rFonts w:ascii="Times New Roman" w:hAnsi="Times New Roman" w:cs="Times New Roman"/>
          <w:sz w:val="28"/>
        </w:rPr>
        <w:t xml:space="preserve">начальник финансового управления </w:t>
      </w:r>
    </w:p>
    <w:p w:rsidR="002925FD" w:rsidRPr="00DA0985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A0985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DA0985">
        <w:rPr>
          <w:rFonts w:ascii="Times New Roman" w:hAnsi="Times New Roman" w:cs="Times New Roman"/>
          <w:sz w:val="28"/>
        </w:rPr>
        <w:t>Петровского</w:t>
      </w:r>
      <w:proofErr w:type="gramEnd"/>
    </w:p>
    <w:p w:rsidR="002925FD" w:rsidRPr="00DA0985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A0985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2925FD" w:rsidRPr="00DA0985" w:rsidRDefault="002925FD" w:rsidP="0078276B">
      <w:pPr>
        <w:shd w:val="clear" w:color="auto" w:fill="FFFFFF"/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</w:rPr>
        <w:t>Ставропольского края</w:t>
      </w:r>
      <w:r w:rsidR="00013D61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proofErr w:type="spellStart"/>
      <w:r w:rsidRPr="00DA0985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78276B" w:rsidRPr="00DA0985" w:rsidRDefault="0078276B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8276B" w:rsidRPr="00DA0985" w:rsidRDefault="0078276B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78276B" w:rsidRPr="00DA0985" w:rsidRDefault="0078276B" w:rsidP="0078276B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Е.И.Сергеева</w:t>
      </w:r>
    </w:p>
    <w:p w:rsidR="002925FD" w:rsidRPr="00DA0985" w:rsidRDefault="002925FD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78276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r w:rsidRPr="00DA098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стратегического </w:t>
      </w:r>
    </w:p>
    <w:p w:rsidR="002925FD" w:rsidRPr="00DA0985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планирования и инвестиций </w:t>
      </w:r>
    </w:p>
    <w:p w:rsidR="002925FD" w:rsidRPr="00DA0985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администрации </w:t>
      </w:r>
      <w:proofErr w:type="gramStart"/>
      <w:r w:rsidRPr="00DA0985">
        <w:rPr>
          <w:rFonts w:ascii="Times New Roman" w:eastAsia="Times New Roman" w:hAnsi="Times New Roman" w:cs="Times New Roman"/>
          <w:sz w:val="28"/>
          <w:szCs w:val="24"/>
          <w:lang w:eastAsia="en-US"/>
        </w:rPr>
        <w:t>Петровского</w:t>
      </w:r>
      <w:proofErr w:type="gramEnd"/>
    </w:p>
    <w:p w:rsidR="002925FD" w:rsidRPr="00DA0985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городского округа </w:t>
      </w:r>
    </w:p>
    <w:p w:rsidR="002925FD" w:rsidRPr="00DA0985" w:rsidRDefault="002925FD" w:rsidP="0078276B">
      <w:pPr>
        <w:tabs>
          <w:tab w:val="left" w:pos="808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Ставропольского края                     </w:t>
      </w:r>
      <w:r w:rsidR="00013D6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                               </w:t>
      </w:r>
      <w:r w:rsidRPr="00DA098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Pr="00DA0985">
        <w:rPr>
          <w:rFonts w:ascii="Times New Roman" w:eastAsia="Times New Roman" w:hAnsi="Times New Roman" w:cs="Times New Roman"/>
          <w:sz w:val="28"/>
          <w:szCs w:val="28"/>
          <w:lang w:eastAsia="en-US"/>
        </w:rPr>
        <w:t>Л.В.Кириленко</w:t>
      </w: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8276B" w:rsidRPr="00DA0985" w:rsidRDefault="0078276B" w:rsidP="002925FD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правового отдела </w:t>
      </w: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Ставропольского края                                                             </w:t>
      </w:r>
      <w:proofErr w:type="spell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О.А.Нехаенко</w:t>
      </w:r>
      <w:proofErr w:type="spellEnd"/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E7F9F" w:rsidRPr="00DA0985" w:rsidRDefault="002925FD" w:rsidP="001E7F9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поорганизационно </w:t>
      </w:r>
      <w:r w:rsidR="001E7F9F"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</w:p>
    <w:p w:rsidR="001E7F9F" w:rsidRPr="00DA0985" w:rsidRDefault="002925FD" w:rsidP="001E7F9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1E7F9F" w:rsidRPr="00DA0985" w:rsidRDefault="002925FD" w:rsidP="001E7F9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коррупционныхправонарушений </w:t>
      </w:r>
    </w:p>
    <w:p w:rsidR="002925FD" w:rsidRPr="00DA0985" w:rsidRDefault="002925FD" w:rsidP="001E7F9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администрацииПетровского городского </w:t>
      </w: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Ставропольского края                                                             </w:t>
      </w:r>
      <w:proofErr w:type="spell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С.Н.Кулькина</w:t>
      </w:r>
      <w:proofErr w:type="spellEnd"/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DA0985" w:rsidRDefault="002925FD" w:rsidP="002925FD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по общественной безопасности, гражданской обороне и чрезвычайным ситуациям администрации Петровского городского округа Ставропольского края</w:t>
      </w:r>
    </w:p>
    <w:p w:rsidR="002925FD" w:rsidRPr="00DA0985" w:rsidRDefault="00013D61" w:rsidP="002925FD">
      <w:pPr>
        <w:tabs>
          <w:tab w:val="left" w:pos="8080"/>
        </w:tabs>
        <w:spacing w:after="0" w:line="240" w:lineRule="exact"/>
        <w:ind w:left="-1418" w:right="127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925FD" w:rsidRPr="00DA0985">
        <w:rPr>
          <w:rFonts w:ascii="Times New Roman" w:hAnsi="Times New Roman" w:cs="Times New Roman"/>
          <w:sz w:val="28"/>
          <w:szCs w:val="28"/>
        </w:rPr>
        <w:t>А.А.Денисенко</w:t>
      </w:r>
    </w:p>
    <w:tbl>
      <w:tblPr>
        <w:tblW w:w="0" w:type="auto"/>
        <w:tblLook w:val="01E0"/>
      </w:tblPr>
      <w:tblGrid>
        <w:gridCol w:w="4644"/>
        <w:gridCol w:w="4820"/>
      </w:tblGrid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F9F" w:rsidRPr="00DA0985" w:rsidRDefault="001E7F9F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Программы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финансового обеспечения Программы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127867" w:rsidRPr="00DA0985" w:rsidRDefault="00127867" w:rsidP="00127867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9465" w:type="dxa"/>
        <w:tblLayout w:type="fixed"/>
        <w:tblLook w:val="04A0"/>
      </w:tblPr>
      <w:tblGrid>
        <w:gridCol w:w="2482"/>
        <w:gridCol w:w="6983"/>
      </w:tblGrid>
      <w:tr w:rsidR="00127867" w:rsidRPr="00DA0985" w:rsidTr="00485BDE">
        <w:tc>
          <w:tcPr>
            <w:tcW w:w="2482" w:type="dxa"/>
          </w:tcPr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«Объемы и источники финансового обеспечения Программы</w:t>
            </w:r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82" w:type="dxa"/>
          </w:tcPr>
          <w:p w:rsidR="00127867" w:rsidRPr="00DA0985" w:rsidRDefault="00127867" w:rsidP="00485B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составит 76480,16 тыс. рублей, </w:t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11738,32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44,20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. – 2270,14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8996,51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2021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  <w:lang w:eastAsia="en-US"/>
                </w:rPr>
                <w:t>2022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 xml:space="preserve">. – </w:t>
            </w: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142,49 </w:t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2023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142,49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– 64741,84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7746,85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15308,74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2020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. – 10418,13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2021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. – 10227,54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2022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. – </w:t>
            </w: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10520,29 0</w:t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A0985">
                <w:rPr>
                  <w:rFonts w:ascii="Times New Roman" w:eastAsia="Lucida Sans Unicode" w:hAnsi="Times New Roman" w:cs="Times New Roman"/>
                  <w:sz w:val="28"/>
                  <w:szCs w:val="28"/>
                </w:rPr>
                <w:t>2023 г</w:t>
              </w:r>
            </w:smartTag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. – </w:t>
            </w: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10520,29 </w:t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0,00 тыс. рублей</w:t>
            </w: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27867" w:rsidRPr="00DA0985" w:rsidRDefault="00127867" w:rsidP="001E7F9F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средства участников Программы –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рублей».</w:t>
            </w:r>
          </w:p>
        </w:tc>
      </w:tr>
    </w:tbl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2. В Приложении 1 «Сведения об индикаторах достижения целей муниципальной программы и показателях решения задач подпрограмм Программы и их значениях» к Программе:</w:t>
      </w: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2.1. В графе 2 пункта 4 слова «Увеличение участников мероприятий, направленных на повышение уровня этнокультурной компетентности, общероссийской гражданственности в сравнении с 2018 годом» заменить словами: «Увеличение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</w:r>
      <w:r w:rsidR="009928D5" w:rsidRPr="00DA09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2018 годом».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2.2. В графах 8-11 пункта 22 цифры «3»; «2»; «2»; «1» заменить соответственно знаками «</w:t>
      </w:r>
      <w:proofErr w:type="gramStart"/>
      <w:r w:rsidRPr="00DA0985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DA0985">
        <w:rPr>
          <w:rFonts w:ascii="Times New Roman" w:eastAsia="Times New Roman" w:hAnsi="Times New Roman" w:cs="Times New Roman"/>
          <w:sz w:val="28"/>
          <w:szCs w:val="28"/>
        </w:rPr>
        <w:t>; «-»; «-»; «-».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3. Приложение 2 «Перечень основных мероприятий подпрограмм Программы» к Программе изложить в новой редакции согласно  Приложению 1 к настоящим изменениям.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4. Приложение 3 «Объемы и источники финансового обеспечения Программы» к Программе изложить в новой редакции согласно  Приложению 2 к настоящим изменениям.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5. В паспорте подпрограммы «Гармонизация межнациональных и </w:t>
      </w:r>
      <w:proofErr w:type="spellStart"/>
      <w:r w:rsidRPr="00DA0985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финансового обеспечения подпрограммы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1E7F9F" w:rsidRPr="00DA0985" w:rsidRDefault="001E7F9F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2"/>
        <w:gridCol w:w="5244"/>
      </w:tblGrid>
      <w:tr w:rsidR="00127867" w:rsidRPr="00DA0985" w:rsidTr="00485BDE">
        <w:tc>
          <w:tcPr>
            <w:tcW w:w="4112" w:type="dxa"/>
          </w:tcPr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«Объемы и источники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финансового</w:t>
            </w:r>
            <w:proofErr w:type="gramEnd"/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</w:tcPr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857,04 тыс. рублей, в том числе по источникам финансового обеспечения: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краевой бюджет – 500,00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100,00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100,00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100,00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100,00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100,00 тыс. рублей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357,04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56,00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56,00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61,26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61,26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61,26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61,26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рублей».</w:t>
            </w:r>
          </w:p>
        </w:tc>
      </w:tr>
    </w:tbl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6. В паспорте подпрограммы «Профилактика правонарушений и незаконного оборота наркотиков»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финансового обеспечения подпрограммы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2"/>
        <w:gridCol w:w="5244"/>
      </w:tblGrid>
      <w:tr w:rsidR="00127867" w:rsidRPr="00DA0985" w:rsidTr="00485BDE">
        <w:tc>
          <w:tcPr>
            <w:tcW w:w="4112" w:type="dxa"/>
          </w:tcPr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«Объемы и источники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финансового</w:t>
            </w:r>
            <w:proofErr w:type="gramEnd"/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обеспечения подпрограммы</w:t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</w:tcPr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составит 1883,53 тыс. рублей, в том числе по источникам финансового обеспечения: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1124,30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44,20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910,14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42,49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759,23 тыс. рублей, в том числе по годам: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2018 год – 100,00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2019 год – 301,63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2020 год – 89,40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2021 год – 89,40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2022 год – 89,40 тыс. рублей;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  <w:t>2023 год – 89,40 тыс. рублей</w:t>
            </w:r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ind w:firstLine="60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2021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lang w:eastAsia="en-US"/>
              </w:rPr>
              <w:t>2023 г. – 0,00 тыс. рублей».</w:t>
            </w:r>
          </w:p>
        </w:tc>
      </w:tr>
    </w:tbl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7. В приложении 8 «Подпрограмма «Антитеррористическая защищенность и защита населения и территории от чрезвычайных ситуаций» к Программе (для целей настоящего пункта - Подпрограмма):</w:t>
      </w:r>
    </w:p>
    <w:p w:rsidR="00127867" w:rsidRPr="00DA0985" w:rsidRDefault="00127867" w:rsidP="001E7F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7.1. В паспорте Подпрограммы позицию «Объемы и источники финансового обеспечения подпрограммы»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4253"/>
        <w:gridCol w:w="5103"/>
      </w:tblGrid>
      <w:tr w:rsidR="00127867" w:rsidRPr="00DA0985" w:rsidTr="00485BDE">
        <w:tc>
          <w:tcPr>
            <w:tcW w:w="4253" w:type="dxa"/>
          </w:tcPr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«Объемы и источники </w:t>
            </w:r>
            <w:proofErr w:type="gramStart"/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127867" w:rsidRPr="00DA0985" w:rsidRDefault="00127867" w:rsidP="00485B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обеспечения подпрограммы</w:t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  <w:r w:rsidRPr="00DA0985">
              <w:rPr>
                <w:rFonts w:ascii="Times New Roman" w:eastAsia="Lucida Sans Unicode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72499,59 тыс. рублей, в том числе по источникам финансового обеспечения: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– 10114,02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1260,00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8854,02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2021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2022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2023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0,00 тыс. рублей</w:t>
            </w:r>
          </w:p>
          <w:p w:rsidR="00127867" w:rsidRPr="00DA0985" w:rsidRDefault="00127867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округа – 62385,57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7390,85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2019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14751,11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10057,47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2021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9866,88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2022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10159,63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A0985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2023 г</w:t>
              </w:r>
            </w:smartTag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– 10159,63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г.– 0,00 тыс. рублей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7867" w:rsidRPr="00DA0985" w:rsidRDefault="00127867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127867" w:rsidRPr="00DA0985" w:rsidRDefault="00127867" w:rsidP="00485BDE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 – 0,00 тыс. рублей».</w:t>
            </w:r>
          </w:p>
        </w:tc>
      </w:tr>
    </w:tbl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7.2. В разделе «</w:t>
      </w:r>
      <w:r w:rsidRPr="00DA0985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» Подпрограммы пункт «</w:t>
      </w:r>
      <w:r w:rsidRPr="00DA0985">
        <w:rPr>
          <w:rFonts w:ascii="Times New Roman" w:eastAsia="Lucida Sans Unicode" w:hAnsi="Times New Roman" w:cs="Times New Roman"/>
          <w:sz w:val="28"/>
          <w:szCs w:val="28"/>
        </w:rPr>
        <w:t>2</w:t>
      </w:r>
      <w:r w:rsidR="00C72668" w:rsidRPr="00DA0985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27867" w:rsidRPr="00DA0985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lastRenderedPageBreak/>
        <w:t>«2) Повышение уровня безопасности населения округа и защищенности критически важных объектов от террористических угроз.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 xml:space="preserve">- обустройство образовательных организаций целостными </w:t>
      </w:r>
      <w:proofErr w:type="spellStart"/>
      <w:r w:rsidRPr="00DA0985">
        <w:rPr>
          <w:rFonts w:ascii="Times New Roman" w:eastAsia="Lucida Sans Unicode" w:hAnsi="Times New Roman" w:cs="Times New Roman"/>
          <w:sz w:val="28"/>
          <w:szCs w:val="28"/>
        </w:rPr>
        <w:t>периметральными</w:t>
      </w:r>
      <w:proofErr w:type="spellEnd"/>
      <w:r w:rsidRPr="00DA0985">
        <w:rPr>
          <w:rFonts w:ascii="Times New Roman" w:eastAsia="Lucida Sans Unicode" w:hAnsi="Times New Roman" w:cs="Times New Roman"/>
          <w:sz w:val="28"/>
          <w:szCs w:val="28"/>
        </w:rPr>
        <w:t xml:space="preserve"> ограждениями;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- обеспечение охраны муниципальных объектов охранными предприятиями;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- в установленном законодательством порядке содействие в поддержании общественного порядка, соблюдение пропускного режима на муниципальных объектах охранными предприятиями.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Непосредственным результатом данного основного мероприятия Подпрограммы станет: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0985">
        <w:rPr>
          <w:rFonts w:ascii="Times New Roman" w:eastAsia="Lucida Sans Unicode" w:hAnsi="Times New Roman" w:cs="Times New Roman"/>
          <w:sz w:val="28"/>
          <w:szCs w:val="28"/>
        </w:rPr>
        <w:t>увеличение</w:t>
      </w: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доли образовательных организаций, обустроенных целостными </w:t>
      </w:r>
      <w:proofErr w:type="spellStart"/>
      <w:r w:rsidRPr="00DA0985">
        <w:rPr>
          <w:rFonts w:ascii="Times New Roman" w:eastAsia="Times New Roman" w:hAnsi="Times New Roman" w:cs="Times New Roman"/>
          <w:sz w:val="28"/>
          <w:szCs w:val="28"/>
        </w:rPr>
        <w:t>периметральными</w:t>
      </w:r>
      <w:proofErr w:type="spellEnd"/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 ограждениями</w:t>
      </w:r>
      <w:r w:rsidRPr="00DA0985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- обеспечение антитеррористической защищенностью муниципальных объектов.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 xml:space="preserve">Ответственным исполнителем данного мероприятия является отдел образования. </w:t>
      </w:r>
    </w:p>
    <w:p w:rsidR="00127867" w:rsidRPr="00DA0985" w:rsidRDefault="00127867" w:rsidP="001278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A0985">
        <w:rPr>
          <w:rFonts w:ascii="Times New Roman" w:eastAsia="Lucida Sans Unicode" w:hAnsi="Times New Roman" w:cs="Times New Roman"/>
          <w:sz w:val="28"/>
          <w:szCs w:val="28"/>
        </w:rPr>
        <w:t>Соисполнителем данного мероприятия является отдел по общественной безопасности</w:t>
      </w:r>
      <w:proofErr w:type="gramStart"/>
      <w:r w:rsidRPr="00DA0985">
        <w:rPr>
          <w:rFonts w:ascii="Times New Roman" w:eastAsia="Lucida Sans Unicode" w:hAnsi="Times New Roman" w:cs="Times New Roman"/>
          <w:sz w:val="28"/>
          <w:szCs w:val="28"/>
        </w:rPr>
        <w:t>.».</w:t>
      </w:r>
      <w:proofErr w:type="gramEnd"/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E7F9F" w:rsidRPr="00DA0985" w:rsidRDefault="001E7F9F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E7F9F" w:rsidRPr="00DA0985" w:rsidRDefault="001E7F9F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>Заместитель главы администрации</w:t>
      </w: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>Ставропольского края                                                                         Е.И.Сергеева</w:t>
      </w:r>
    </w:p>
    <w:p w:rsidR="00B7364E" w:rsidRPr="00DA0985" w:rsidRDefault="00B7364E">
      <w:pPr>
        <w:sectPr w:rsidR="00B7364E" w:rsidRPr="00DA0985" w:rsidSect="000B234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7364E" w:rsidRPr="00DA0985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364E" w:rsidRPr="00DA0985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«Приложение 2</w:t>
      </w: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A09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A0985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B7364E" w:rsidRPr="00DA0985" w:rsidRDefault="00B7364E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403"/>
      <w:bookmarkEnd w:id="0"/>
      <w:r w:rsidRPr="00DA0985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основных мероприятий подпрограмм Программы</w:t>
      </w:r>
    </w:p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6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426"/>
        <w:gridCol w:w="3678"/>
        <w:gridCol w:w="2407"/>
        <w:gridCol w:w="851"/>
        <w:gridCol w:w="850"/>
        <w:gridCol w:w="3555"/>
      </w:tblGrid>
      <w:tr w:rsidR="00B7364E" w:rsidRPr="00DA0985" w:rsidTr="00485BDE">
        <w:trPr>
          <w:jc w:val="center"/>
        </w:trPr>
        <w:tc>
          <w:tcPr>
            <w:tcW w:w="600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26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678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 w:history="1">
              <w:r w:rsidRPr="00DA0985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2407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701" w:type="dxa"/>
            <w:gridSpan w:val="2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555" w:type="dxa"/>
            <w:vMerge w:val="restart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850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3555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6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8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55" w:type="dxa"/>
            <w:vAlign w:val="center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DA098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DA098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Перовского городского округа Ставропольского края»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Задача 1 подпрограммы 1 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по делам территорий;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МЦ «Импульс»;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общей численности опрошенных лиц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 1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  <w:p w:rsidR="00B7364E" w:rsidRPr="00DA0985" w:rsidRDefault="00B7364E" w:rsidP="00485BD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по делам территорий;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округа, считающего состояние межнациональных отношений в округе стабильным, в общей численности опрошенных лиц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образования;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МЦ «Импульс»;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ОМВД по Петровскому городскому округу (по согласованию)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мероприятий, направленных на гармонизацию </w:t>
            </w:r>
            <w:proofErr w:type="spell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этнического и религиозного экстремизма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отношений, профилактику этнического и религиозного экстремизма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Цель 2 Программы «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</w:t>
            </w:r>
            <w:r w:rsidRPr="00DA098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  <w:t>Муниципальная поддержка казачества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2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культуры;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управление по делам территорий;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популяризацию казачьей культуры в округе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</w:t>
            </w:r>
            <w:r w:rsidR="00424515"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и развитие казачьей культуры, в том числе мероприятий военно-патриотической направленности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Default="00B7364E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</w:t>
            </w:r>
            <w:r w:rsidR="00424515"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  <w:p w:rsidR="000B2344" w:rsidRPr="00DA0985" w:rsidRDefault="000B2344" w:rsidP="00485BDE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lastRenderedPageBreak/>
              <w:t>Цель 3 Программы «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trHeight w:val="591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бюджетов субсидий и иных межбюджетных трансфертов на 1 рубль финансирования муниципальной программы за счет средств бюджета округа на ремонт помещений, предоставляемых </w:t>
            </w:r>
            <w:r w:rsidR="000B23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2019 году для работы сотрудник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ов, замещающих должности участкового уполномоченного полиции, на обслуживаемом административном участке</w:t>
            </w:r>
            <w:proofErr w:type="gramEnd"/>
          </w:p>
        </w:tc>
      </w:tr>
      <w:tr w:rsidR="00B7364E" w:rsidRPr="00DA0985" w:rsidTr="00485BDE">
        <w:trPr>
          <w:trHeight w:val="1300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граждан, привлеченных к мероприятиям по охране общественного порядка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364E" w:rsidRPr="00DA0985" w:rsidTr="00485BDE">
        <w:trPr>
          <w:trHeight w:val="2345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 3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«Организация агитационной работы, направленной на профилактику правонарушений, повышения уровня правосознания и правовой культуры населения»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Информационно-пропагандистское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профилактики правонарушений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отдел по общественной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культуры;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изготовленных агитационных материалов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(календарей, плакатов и т.д.), направленных на профилактику правонарушений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социальной адаптации и </w:t>
            </w:r>
            <w:proofErr w:type="spell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граждан, освободившихся из мест лишения свободы, а также лиц, осужденных к наказанию без изоляции от общества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УТСЗН;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ГБУ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13D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«Петровский центр социального обслуживания» (по согласованию)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</w:t>
            </w:r>
            <w:r w:rsidR="00424515"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сравнении с 2018 годом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en-US"/>
              </w:rPr>
              <w:lastRenderedPageBreak/>
              <w:t>Цель 4 Программы «Противодействие коррупции в сфере деятельности органов местного самоуправления»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4. «Противодействие коррупции в сфере деятельности органов местного самоуправления»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4 </w:t>
            </w: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«Реализация организационно–правовых мер по формированию механизма противодействия коррупции в экономической и социальной сферах»</w:t>
            </w:r>
            <w:proofErr w:type="gramEnd"/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проектов нормативных правовых актов администрации округа и органов администрации округа 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правовой отдел;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отделы и органы администрации округа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 округа, прошедших антикоррупционную экспертизу, от общего количества нормативных правовых актов, принятых в отчетном периоде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Приведение в соответствие с Федеральным законодательством и  законодательством Ставропольского края в сфере </w:t>
            </w: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противодействия коррупции правовых актов администрации округа</w:t>
            </w:r>
            <w:proofErr w:type="gram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органов администрации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отделы и органы администрации округа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принятых нормативных правовых актов в соответствие с Федеральным и краевым законодательством в сфере противодействия коррупции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муниципальных служащих, представивших сведения о своих доходах, об имуществе и обязательствах имущественного характера, а также о доходах, об имуществе и обязательствах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имущественного характера своих супруги (супруга) и несовершеннолетних детей, в общей численности муниципальных служащих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 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подпрограммы 4 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противодействия коррупции в рамках реализации законодательства о муниципальной службе»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Российской Федерации и законодательством Ставропольского края о муниципальной службе 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общей численности муниципальных служащих</w:t>
            </w:r>
          </w:p>
        </w:tc>
      </w:tr>
      <w:tr w:rsidR="00B7364E" w:rsidRPr="00DA0985" w:rsidTr="00485BDE">
        <w:trPr>
          <w:trHeight w:val="597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коррупции, касающиеся предотвращения и урегулирования конфликта интересов, в случае их </w:t>
            </w: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несоблюдения по материалам проверки от общей численности муниципальных служащих</w:t>
            </w:r>
          </w:p>
        </w:tc>
      </w:tr>
      <w:tr w:rsidR="00B7364E" w:rsidRPr="00DA0985" w:rsidTr="00485BDE">
        <w:trPr>
          <w:trHeight w:val="2187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24515">
        <w:trPr>
          <w:trHeight w:val="1456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фактов  возможного конфликта интересов</w:t>
            </w:r>
          </w:p>
        </w:tc>
      </w:tr>
      <w:tr w:rsidR="00B7364E" w:rsidRPr="00DA0985" w:rsidTr="00485BDE">
        <w:trPr>
          <w:trHeight w:val="4097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trHeight w:val="2731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должности муниципальной службы в аппарате администрации округа и органах администрации округа и урегулированию конфликта интересов 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8"/>
              </w:rPr>
              <w:t>количество заседаний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округа, и урегулированию конфликта интересов</w:t>
            </w:r>
          </w:p>
        </w:tc>
      </w:tr>
      <w:tr w:rsidR="00B7364E" w:rsidRPr="00DA0985" w:rsidTr="00485BDE">
        <w:trPr>
          <w:trHeight w:val="2305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trHeight w:val="2049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«Телефона доверия главы округа» для приёма сообщений, в том числе сообщений о фактах коррупции и личной заинтересованности муниципальных служащих при исполнении служебных обязанностей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количество поступивших сообщений на «Телефон доверия главы округа» о фактах коррупции и личной заинтересованности муниципальных служащих при исполнении служебных обязанностей</w:t>
            </w:r>
          </w:p>
        </w:tc>
      </w:tr>
      <w:tr w:rsidR="00B7364E" w:rsidRPr="00DA0985" w:rsidTr="00485BDE">
        <w:trPr>
          <w:trHeight w:val="2048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trHeight w:val="1732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proofErr w:type="spellStart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проявлений посредством анализа жалоб и обращений населения округа и организаций округа для обобщения поступающей информации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количество поступивших обращений, жалоб о фактах коррупции и личной заинтересованности муниципальных служащих при исполнении служебных обязанностей</w:t>
            </w:r>
          </w:p>
        </w:tc>
      </w:tr>
      <w:tr w:rsidR="00B7364E" w:rsidRPr="00DA0985" w:rsidTr="00485BDE">
        <w:trPr>
          <w:trHeight w:val="1731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trHeight w:val="2723"/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по организационно-кадровым вопросам 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муниципальных закупок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доля муниципальных служащих, в должностные обязанности которых входит участие в противодействии коррупции, получивших удостоверение о повышении квалификации по образовательным программам в области противодействия коррупции</w:t>
            </w:r>
          </w:p>
        </w:tc>
      </w:tr>
      <w:tr w:rsidR="00B7364E" w:rsidRPr="00DA0985" w:rsidTr="00485BDE">
        <w:trPr>
          <w:trHeight w:val="2161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по образовательным программам в области противодействия коррупции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муниципальных закупок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доля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края, получивших удостоверение о повышении квалификации</w:t>
            </w:r>
            <w:r w:rsidR="00013D6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 образовательным программам в области противодействия коррупции</w:t>
            </w:r>
          </w:p>
        </w:tc>
      </w:tr>
      <w:tr w:rsidR="00B7364E" w:rsidRPr="00DA0985" w:rsidTr="00485BDE">
        <w:trPr>
          <w:trHeight w:val="2194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подпрограммы 4 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антикоррупционной пропаганды,</w:t>
            </w:r>
            <w:r w:rsidRPr="00DA0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предупреждения коррупционных проявлений, минимизации и ликвидации их последствий в сферах деятельности органов местного самоуправления</w:t>
            </w:r>
            <w:r w:rsidRPr="00DA098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вопросов антикоррупционного просвещения и пропаганды на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совещаниях, советах, учебах аппарата и органов администрации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отдел по организационно-кадровым вопросам;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отделы и органы администрации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Петровского городского округа Ставропольского края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рассмотренных вопросов антикоррупционной пропаганды в администрации Петровского городского округа Ставропольского края;</w:t>
            </w:r>
          </w:p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trHeight w:val="2009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информации, </w:t>
            </w:r>
            <w:r w:rsidRPr="00DA09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освещающей вопросы противодействия коррупции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trHeight w:val="2009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муниципальных служащих, 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общей численности муниципальных служащих</w:t>
            </w:r>
          </w:p>
        </w:tc>
      </w:tr>
      <w:tr w:rsidR="00B7364E" w:rsidRPr="00DA0985" w:rsidTr="00485BDE">
        <w:trPr>
          <w:trHeight w:val="1922"/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организационно-кадровым вопросам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комплекса мер по предупреждению и минимизации бытовой коррупции в сферах деятельности отделов и органов администрации округа 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и отделами администрации Петровского городского округа Ставропольского края, казенными учреждениями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муниципального хозяйства;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имущественных и земельных отношений;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жилищного учета, строительства и муниципального контроля;</w:t>
            </w:r>
          </w:p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планирования территорий и землеустройства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мер, направленных на минимизацию возможного проявления коррупции в сфере закупок товаров, работ, услуг для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обеспечения муниципальных нужд 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и отделами администрации Петровского городского округа Ставропольского края, казенными учреждениями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муниципальных закупок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антикоррупционной направленности в муниципальных образовательных организациях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и отделами администрации Петровского городского округа Ставропольского края, казенными учреждениями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образования;</w:t>
            </w:r>
          </w:p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муниципальные образовательные организации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5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5. «Антитеррористическая защищенность и защита населения и территории от чрезвычайных ситуаций»</w:t>
            </w:r>
          </w:p>
        </w:tc>
      </w:tr>
      <w:tr w:rsidR="00B7364E" w:rsidRPr="00DA0985" w:rsidTr="00485BDE">
        <w:trPr>
          <w:jc w:val="center"/>
        </w:trPr>
        <w:tc>
          <w:tcPr>
            <w:tcW w:w="14367" w:type="dxa"/>
            <w:gridSpan w:val="7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1 Подпрограммы 5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426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3678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«Аварийно-спасательное формирование Петровского городского округа Ставропольского края»</w:t>
            </w:r>
          </w:p>
        </w:tc>
        <w:tc>
          <w:tcPr>
            <w:tcW w:w="851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B7364E" w:rsidRPr="00DA0985" w:rsidTr="00485BDE">
        <w:trPr>
          <w:trHeight w:val="308"/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безопасности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округа и защищенности критически важных объектов от террористических угроз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отдел по общественной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образования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proofErr w:type="gramStart"/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объем привлеченных из федерального и краевого </w:t>
            </w: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lastRenderedPageBreak/>
              <w:t>бюджетов субсидий и иных межбюджетных трансфертов на 1 рубль финансирования муниципальной программы за счет средств бюджета округа на создание условий для обеспечения безопасности граждан в местах массового пребывания людей на территории муниципальных образований</w:t>
            </w:r>
            <w:proofErr w:type="gramEnd"/>
          </w:p>
        </w:tc>
      </w:tr>
      <w:tr w:rsidR="00B7364E" w:rsidRPr="00DA0985" w:rsidTr="00485BDE">
        <w:trPr>
          <w:trHeight w:val="1145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proofErr w:type="gram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B7364E" w:rsidRPr="00DA0985" w:rsidTr="00485BDE">
        <w:trPr>
          <w:trHeight w:val="2023"/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периметральными</w:t>
            </w:r>
            <w:proofErr w:type="spellEnd"/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426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Предупреждение и </w:t>
            </w:r>
            <w:r w:rsidRPr="00DA09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ликвидация чрезвычайных ситуаций и стихийных бедствий</w:t>
            </w:r>
          </w:p>
        </w:tc>
        <w:tc>
          <w:tcPr>
            <w:tcW w:w="3678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мероприятий, 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2407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аварийно-</w:t>
            </w: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спасательное формирование;</w:t>
            </w:r>
          </w:p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851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0" w:type="dxa"/>
            <w:vMerge w:val="restart"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доля населения округа, </w:t>
            </w: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lastRenderedPageBreak/>
              <w:t>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B7364E" w:rsidRPr="00DA0985" w:rsidTr="00485BDE">
        <w:trPr>
          <w:jc w:val="center"/>
        </w:trPr>
        <w:tc>
          <w:tcPr>
            <w:tcW w:w="60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78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7364E" w:rsidRPr="00DA0985" w:rsidRDefault="00B7364E" w:rsidP="00485B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</w:tcPr>
          <w:p w:rsidR="00B7364E" w:rsidRPr="00DA0985" w:rsidRDefault="00B7364E" w:rsidP="00485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</w:tr>
    </w:tbl>
    <w:p w:rsidR="00B7364E" w:rsidRPr="00DA0985" w:rsidRDefault="00B7364E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043"/>
      <w:bookmarkEnd w:id="1"/>
      <w:r w:rsidRPr="00DA098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B7364E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4191F" w:rsidRPr="00DA0985" w:rsidRDefault="0044191F" w:rsidP="001E7F9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«Приложение 3</w:t>
      </w: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A09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A0985">
        <w:rPr>
          <w:rFonts w:ascii="Times New Roman" w:eastAsia="Times New Roman" w:hAnsi="Times New Roman" w:cs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44191F" w:rsidRPr="00DA0985" w:rsidRDefault="0044191F" w:rsidP="001E7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P533"/>
      <w:bookmarkEnd w:id="3"/>
      <w:r w:rsidRPr="00DA0985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985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:rsidR="0044191F" w:rsidRPr="00DA0985" w:rsidRDefault="0044191F" w:rsidP="00441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260"/>
        <w:gridCol w:w="3402"/>
        <w:gridCol w:w="1134"/>
        <w:gridCol w:w="1134"/>
        <w:gridCol w:w="1134"/>
        <w:gridCol w:w="1135"/>
        <w:gridCol w:w="1133"/>
        <w:gridCol w:w="1134"/>
      </w:tblGrid>
      <w:tr w:rsidR="0044191F" w:rsidRPr="00DA0985" w:rsidTr="00485BDE">
        <w:tc>
          <w:tcPr>
            <w:tcW w:w="851" w:type="dxa"/>
            <w:vMerge w:val="restart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44191F" w:rsidRPr="00DA0985" w:rsidRDefault="0044191F" w:rsidP="001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04" w:type="dxa"/>
            <w:gridSpan w:val="6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</w:t>
            </w:r>
          </w:p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4191F" w:rsidRPr="00DA0985" w:rsidTr="00485BDE">
        <w:trPr>
          <w:trHeight w:val="1275"/>
        </w:trPr>
        <w:tc>
          <w:tcPr>
            <w:tcW w:w="851" w:type="dxa"/>
            <w:vMerge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4191F" w:rsidRPr="00DA0985" w:rsidTr="00485BDE">
        <w:trPr>
          <w:trHeight w:val="208"/>
        </w:trPr>
        <w:tc>
          <w:tcPr>
            <w:tcW w:w="851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4191F" w:rsidRPr="00DA0985" w:rsidRDefault="0044191F" w:rsidP="001E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191F" w:rsidRPr="00DA0985" w:rsidTr="00485BDE">
        <w:trPr>
          <w:trHeight w:val="202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«Межнациональные отношения, профилактика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правонарушений, терроризма и поддержка казачества»,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7791,05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17578,88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19414,64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10370,03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10662,78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10662,78</w:t>
            </w:r>
          </w:p>
        </w:tc>
      </w:tr>
      <w:tr w:rsidR="0044191F" w:rsidRPr="00DA0985" w:rsidTr="00485BDE">
        <w:trPr>
          <w:trHeight w:val="2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 (далее -  бюджет округа),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7791,05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17578,88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19414,64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10370,03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10662,78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10662,78</w:t>
            </w:r>
          </w:p>
        </w:tc>
      </w:tr>
      <w:tr w:rsidR="0044191F" w:rsidRPr="00DA0985" w:rsidTr="00485BDE">
        <w:trPr>
          <w:trHeight w:val="2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Ставропольского края (далее – средства краевого бюджета),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2270,14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8996,51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2129,95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140,19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139,49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139,49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139,49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139,49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7746,85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15308,74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10418,13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10227,54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10520,29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10520,29</w:t>
            </w:r>
          </w:p>
        </w:tc>
      </w:tr>
      <w:tr w:rsidR="0044191F" w:rsidRPr="00DA0985" w:rsidTr="00485BDE">
        <w:trPr>
          <w:trHeight w:val="29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rPr>
          <w:trHeight w:val="343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832,75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434,40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434,40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434,40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434,40</w:t>
            </w:r>
          </w:p>
        </w:tc>
      </w:tr>
      <w:tr w:rsidR="0044191F" w:rsidRPr="00DA0985" w:rsidTr="00485BDE">
        <w:trPr>
          <w:trHeight w:val="343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</w:tr>
      <w:tr w:rsidR="0044191F" w:rsidRPr="00DA0985" w:rsidTr="00485BDE">
        <w:trPr>
          <w:trHeight w:val="74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rPr>
          <w:trHeight w:val="74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аварийно-спасательное формирование 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6951,17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7086,47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7361,88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</w:tr>
      <w:tr w:rsidR="0044191F" w:rsidRPr="00DA0985" w:rsidTr="00485BDE">
        <w:trPr>
          <w:trHeight w:val="74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rPr>
          <w:trHeight w:val="230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21,26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этнического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религиозного экстремизма на территории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требует финансового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DA09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Муниципальная поддержка казачества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общества Петровского городского округа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поддержка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казачьих обществ, осуществляющих свою деятельность на территории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общества Петровского городского округа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правонарушений и незаконного оборота наркотиков»,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1211,77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1211,77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131,89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910,14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869,95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301,63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301,63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89,40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990,77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990,77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66,89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910,14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42,49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869,95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39,49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80,63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80,63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24,40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адаптации и </w:t>
            </w:r>
            <w:proofErr w:type="spell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8F1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освободившихся из мест лишения свободы, а также лиц, осужденных к наказанию без изоляции от общества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«Противодействие коррупции в сфере деятельности органов местного самоуправления»,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следующие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Проведение антикоррупционной экспертизы проектов нормативных правовых актов администрации округа и органов администрации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Федеральным законодательством и  законодательством Ставропольского края в сфере </w:t>
            </w: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 правовых актов администрации округа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администрации округа.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Российской Федерации и законодательством Ставропольского края о муниципальной службе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</w:t>
            </w: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служащих, замещающих должности муниципальной службы в аппарате администрации округа и органах администрации округа, и урегулированию конфликта интересов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«Телефона доверия главы округа» для приёма сообщений, в том числе сообщений о фактах коррупции и личной заинтересованности муниципальных служащих при исполнении служебных обязанностей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proofErr w:type="spellStart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DA098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проявлений посредством анализа жалоб и обращений населения округа и организаций округа для обобщения поступающей информации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 xml:space="preserve">Ежегодное повышение квалификации муниципальных служащих, в должностные обязанности которых входит участие в </w:t>
            </w:r>
            <w:r w:rsidRPr="00DA0985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lastRenderedPageBreak/>
              <w:t>противодействии коррупции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антикоррупционного просвещения и пропаганды на совещаниях, советах, учебах аппарата и органов администрации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информации, освещающей вопросы противодействия коррупции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предупреждению и минимизации бытовой коррупции в сферах деятельности отделов и органов администрации округа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мер, направленных на минимизацию возможного проявления коррупции в сфере закупок товаров, работ, услуг для обеспечения муниципальных нужд 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</w:rPr>
              <w:t>Проведение мероприятий антикоррупционной направленности в муниципальных образовательных организациях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  <w:t>Подпрограмма «Антитеррористическая защищенность и защита населения и территории от чрезвычайных ситуаций», всего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16011,11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18911,49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9866,88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16011,11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18911,49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9866,88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14751,11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10057,47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9866,88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10159,63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531,12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аварийно-спасательное формирование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6951,17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7086,47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7361,88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Cambria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8691,13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11480,02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8691,13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11480,02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rPr>
          <w:trHeight w:val="41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rPr>
          <w:trHeight w:val="37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rPr>
          <w:trHeight w:val="41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rPr>
          <w:trHeight w:val="415"/>
        </w:trPr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7431,13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2626,00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устройств, обеспечивающих безопасность граждан округа в местах массового пребывания людей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1422,31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1422,31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/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Обустройство образовательных организаций целостными </w:t>
            </w:r>
            <w:proofErr w:type="spellStart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ограждениями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9320,02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9320,02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8854,02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7268,82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466,00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Lucida Sans Unicode" w:hAnsi="Times New Roman" w:cs="Times New Roman"/>
                <w:sz w:val="24"/>
                <w:szCs w:val="24"/>
              </w:rPr>
              <w:t>Обеспечение охраны муниципальных объектов охранными предприятиями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7319,98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7431,47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7706,88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7319,98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7431,47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7706,88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7319,98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7431,47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7706,88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7999,63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аварийно-спасательное формирование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7090,85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6951,17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7086,47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7361,88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7654,63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общественной безопасности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368,81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rPr>
                <w:rFonts w:ascii="Times New Roman" w:eastAsia="Times New Roman" w:hAnsi="Times New Roman" w:cs="Times New Roman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345,00</w:t>
            </w:r>
          </w:p>
        </w:tc>
      </w:tr>
      <w:tr w:rsidR="0044191F" w:rsidRPr="00DA0985" w:rsidTr="00485BDE">
        <w:tc>
          <w:tcPr>
            <w:tcW w:w="851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91F" w:rsidRPr="00DA0985" w:rsidRDefault="0044191F" w:rsidP="001E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4191F" w:rsidRPr="00DA0985" w:rsidRDefault="0044191F" w:rsidP="0048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8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619F5" w:rsidRPr="00DA0985" w:rsidRDefault="0044191F" w:rsidP="004419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E619F5" w:rsidRPr="00DA0985" w:rsidSect="001E7F9F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25FD"/>
    <w:rsid w:val="00013D61"/>
    <w:rsid w:val="000B2344"/>
    <w:rsid w:val="000B27A0"/>
    <w:rsid w:val="00127867"/>
    <w:rsid w:val="001E7F9F"/>
    <w:rsid w:val="002925FD"/>
    <w:rsid w:val="003908D3"/>
    <w:rsid w:val="00424515"/>
    <w:rsid w:val="0044191F"/>
    <w:rsid w:val="00485BDE"/>
    <w:rsid w:val="004A346E"/>
    <w:rsid w:val="0051470E"/>
    <w:rsid w:val="0058286A"/>
    <w:rsid w:val="0078276B"/>
    <w:rsid w:val="0079562B"/>
    <w:rsid w:val="008F1280"/>
    <w:rsid w:val="009928D5"/>
    <w:rsid w:val="00B7364E"/>
    <w:rsid w:val="00C72668"/>
    <w:rsid w:val="00DA0985"/>
    <w:rsid w:val="00DA3B02"/>
    <w:rsid w:val="00E619F5"/>
    <w:rsid w:val="00F666EF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3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iPriority w:val="99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51</Pages>
  <Words>8618</Words>
  <Characters>49125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2020-02-14T08:54:00Z</cp:lastPrinted>
  <dcterms:created xsi:type="dcterms:W3CDTF">2020-02-13T12:57:00Z</dcterms:created>
  <dcterms:modified xsi:type="dcterms:W3CDTF">2020-02-14T10:01:00Z</dcterms:modified>
</cp:coreProperties>
</file>