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4" w:rsidRDefault="00D2173D" w:rsidP="009B6034">
      <w:pPr>
        <w:spacing w:after="0" w:line="240" w:lineRule="auto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9B6034"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</w:p>
    <w:p w:rsidR="009B6034" w:rsidRPr="00A17EF0" w:rsidRDefault="009B6034" w:rsidP="009B603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17EF0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:rsidR="009B6034" w:rsidRPr="00D07D66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9B6034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ГОРОДСКОГО ОКРУГА</w:t>
      </w:r>
    </w:p>
    <w:p w:rsidR="009B6034" w:rsidRPr="00D07D66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9B6034" w:rsidRPr="00D07D66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1"/>
        <w:gridCol w:w="3145"/>
        <w:gridCol w:w="3080"/>
      </w:tblGrid>
      <w:tr w:rsidR="009B6034" w:rsidRPr="00D07D66" w:rsidTr="00511DBF">
        <w:trPr>
          <w:trHeight w:val="208"/>
        </w:trPr>
        <w:tc>
          <w:tcPr>
            <w:tcW w:w="3063" w:type="dxa"/>
          </w:tcPr>
          <w:p w:rsidR="009B6034" w:rsidRPr="00D07D66" w:rsidRDefault="009B6034" w:rsidP="00511D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9B6034" w:rsidRPr="00D07D66" w:rsidRDefault="009B6034" w:rsidP="00511D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9B6034" w:rsidRPr="00D07D66" w:rsidRDefault="009B6034" w:rsidP="00511DBF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9B6034" w:rsidRPr="00D07D66" w:rsidRDefault="009B6034" w:rsidP="009B6034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B6034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bookmarkStart w:id="0" w:name="_Hlk50558154"/>
      <w:r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Pr="00327588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bookmarkEnd w:id="0"/>
    <w:p w:rsidR="009B6034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9B6034" w:rsidRPr="00A17EF0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9B6034" w:rsidRDefault="009B6034" w:rsidP="009B60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A17EF0">
        <w:rPr>
          <w:rFonts w:ascii="Times New Roman" w:eastAsia="Calibri" w:hAnsi="Times New Roman"/>
          <w:sz w:val="28"/>
          <w:lang w:eastAsia="en-US"/>
        </w:rPr>
        <w:t xml:space="preserve">В соответствии с </w:t>
      </w:r>
      <w:r>
        <w:rPr>
          <w:rFonts w:ascii="Times New Roman" w:eastAsia="Calibri" w:hAnsi="Times New Roman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ascii="Times New Roman" w:eastAsia="Calibri" w:hAnsi="Times New Roman"/>
          <w:sz w:val="28"/>
          <w:lang w:eastAsia="en-US"/>
        </w:rPr>
        <w:t>Федеральным законом от 06 октября 200</w:t>
      </w:r>
      <w:r>
        <w:rPr>
          <w:rFonts w:ascii="Times New Roman" w:eastAsia="Calibri" w:hAnsi="Times New Roman"/>
          <w:sz w:val="28"/>
          <w:lang w:eastAsia="en-US"/>
        </w:rPr>
        <w:t>3</w:t>
      </w:r>
      <w:r w:rsidRPr="00A17EF0">
        <w:rPr>
          <w:rFonts w:ascii="Times New Roman" w:eastAsia="Calibri" w:hAnsi="Times New Roman"/>
          <w:sz w:val="28"/>
          <w:lang w:eastAsia="en-US"/>
        </w:rPr>
        <w:t xml:space="preserve"> года № 131-ФЗ «Об общих принципах организации местного самоуправления в </w:t>
      </w:r>
      <w:r>
        <w:rPr>
          <w:rFonts w:ascii="Times New Roman" w:eastAsia="Calibri" w:hAnsi="Times New Roman"/>
          <w:sz w:val="28"/>
          <w:lang w:eastAsia="en-US"/>
        </w:rPr>
        <w:t>Р</w:t>
      </w:r>
      <w:r w:rsidRPr="00A17EF0">
        <w:rPr>
          <w:rFonts w:ascii="Times New Roman" w:eastAsia="Calibri" w:hAnsi="Times New Roman"/>
          <w:sz w:val="28"/>
          <w:lang w:eastAsia="en-US"/>
        </w:rPr>
        <w:t xml:space="preserve">оссийской </w:t>
      </w:r>
      <w:r>
        <w:rPr>
          <w:rFonts w:ascii="Times New Roman" w:eastAsia="Calibri" w:hAnsi="Times New Roman"/>
          <w:sz w:val="28"/>
          <w:lang w:eastAsia="en-US"/>
        </w:rPr>
        <w:t>Ф</w:t>
      </w:r>
      <w:r w:rsidRPr="00A17EF0">
        <w:rPr>
          <w:rFonts w:ascii="Times New Roman" w:eastAsia="Calibri" w:hAnsi="Times New Roman"/>
          <w:sz w:val="28"/>
          <w:lang w:eastAsia="en-US"/>
        </w:rPr>
        <w:t>едерации»,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редакции от 30 августа 2018 г. № 1547, от 11 января 2019 г. № 9, от 08 августа 2019 г. № 1645, от 06 июля 2020</w:t>
      </w:r>
      <w:r w:rsidR="006F1F2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bookmarkStart w:id="1" w:name="_GoBack"/>
      <w:bookmarkEnd w:id="1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 № 867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656-р, от 20 сентября 2019 г. № 554-р, от 02 июля 2020 г. № 370-р)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lang w:eastAsia="en-US"/>
        </w:rPr>
        <w:t xml:space="preserve"> р</w:t>
      </w:r>
      <w:r w:rsidRPr="00DF6425">
        <w:rPr>
          <w:rFonts w:ascii="Times New Roman" w:eastAsia="Calibri" w:hAnsi="Times New Roman"/>
          <w:sz w:val="28"/>
          <w:lang w:eastAsia="en-US"/>
        </w:rPr>
        <w:t>аспоряжение</w:t>
      </w:r>
      <w:r>
        <w:rPr>
          <w:rFonts w:ascii="Times New Roman" w:eastAsia="Calibri" w:hAnsi="Times New Roman"/>
          <w:sz w:val="28"/>
          <w:lang w:eastAsia="en-US"/>
        </w:rPr>
        <w:t>м</w:t>
      </w:r>
      <w:r w:rsidRPr="00DF6425">
        <w:rPr>
          <w:rFonts w:ascii="Times New Roman" w:eastAsia="Calibri" w:hAnsi="Times New Roman"/>
          <w:sz w:val="28"/>
          <w:lang w:eastAsia="en-US"/>
        </w:rPr>
        <w:t xml:space="preserve"> администрации Петровского городского округа Ставропольского края от 27 декабря 2017 г</w:t>
      </w:r>
      <w:r>
        <w:rPr>
          <w:rFonts w:ascii="Times New Roman" w:eastAsia="Calibri" w:hAnsi="Times New Roman"/>
          <w:sz w:val="28"/>
          <w:lang w:eastAsia="en-US"/>
        </w:rPr>
        <w:t>ода</w:t>
      </w:r>
      <w:r w:rsidRPr="00DF6425">
        <w:rPr>
          <w:rFonts w:ascii="Times New Roman" w:eastAsia="Calibri" w:hAnsi="Times New Roman"/>
          <w:sz w:val="28"/>
          <w:lang w:eastAsia="en-US"/>
        </w:rPr>
        <w:t xml:space="preserve"> № 01-р</w:t>
      </w:r>
      <w:r w:rsidRPr="00124ABD">
        <w:t xml:space="preserve"> </w:t>
      </w:r>
      <w:r w:rsidRPr="00124ABD">
        <w:rPr>
          <w:rFonts w:ascii="Times New Roman" w:eastAsia="Calibri" w:hAnsi="Times New Roman"/>
          <w:sz w:val="28"/>
          <w:lang w:eastAsia="en-US"/>
        </w:rPr>
        <w:t>«Об утверждении перечня муниципальных программ Петровского городского округа Ставропольского края</w:t>
      </w:r>
      <w:r>
        <w:rPr>
          <w:rFonts w:ascii="Times New Roman" w:eastAsia="Calibri" w:hAnsi="Times New Roman"/>
          <w:sz w:val="28"/>
          <w:lang w:eastAsia="en-US"/>
        </w:rPr>
        <w:t>» (в редакции от</w:t>
      </w:r>
      <w:r w:rsidRPr="00DF6425">
        <w:rPr>
          <w:rFonts w:ascii="Times New Roman" w:eastAsia="Calibri" w:hAnsi="Times New Roman"/>
          <w:sz w:val="28"/>
          <w:lang w:eastAsia="en-US"/>
        </w:rPr>
        <w:t xml:space="preserve"> 30 апреля 2020 г</w:t>
      </w:r>
      <w:r>
        <w:rPr>
          <w:rFonts w:ascii="Times New Roman" w:eastAsia="Calibri" w:hAnsi="Times New Roman"/>
          <w:sz w:val="28"/>
          <w:lang w:eastAsia="en-US"/>
        </w:rPr>
        <w:t>.</w:t>
      </w:r>
      <w:r w:rsidRPr="00DF6425">
        <w:rPr>
          <w:rFonts w:ascii="Times New Roman" w:eastAsia="Calibri" w:hAnsi="Times New Roman"/>
          <w:sz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Pr="00DF6425">
        <w:rPr>
          <w:rFonts w:ascii="Times New Roman" w:eastAsia="Calibri" w:hAnsi="Times New Roman"/>
          <w:sz w:val="28"/>
          <w:lang w:eastAsia="en-US"/>
        </w:rPr>
        <w:t>253-р</w:t>
      </w:r>
      <w:r>
        <w:rPr>
          <w:rFonts w:ascii="Times New Roman" w:eastAsia="Calibri" w:hAnsi="Times New Roman"/>
          <w:sz w:val="28"/>
          <w:lang w:eastAsia="en-US"/>
        </w:rPr>
        <w:t xml:space="preserve">) </w:t>
      </w:r>
      <w:r w:rsidRPr="00B17721">
        <w:rPr>
          <w:rFonts w:ascii="Times New Roman" w:eastAsia="Calibri" w:hAnsi="Times New Roman"/>
          <w:sz w:val="28"/>
          <w:lang w:eastAsia="en-US"/>
        </w:rPr>
        <w:t xml:space="preserve">администрация Петровского </w:t>
      </w:r>
      <w:r>
        <w:rPr>
          <w:rFonts w:ascii="Times New Roman" w:eastAsia="Calibri" w:hAnsi="Times New Roman"/>
          <w:sz w:val="28"/>
          <w:lang w:eastAsia="en-US"/>
        </w:rPr>
        <w:t>городского округа</w:t>
      </w:r>
      <w:r w:rsidRPr="00B17721">
        <w:rPr>
          <w:rFonts w:ascii="Times New Roman" w:eastAsia="Calibri" w:hAnsi="Times New Roman"/>
          <w:sz w:val="28"/>
          <w:lang w:eastAsia="en-US"/>
        </w:rPr>
        <w:t xml:space="preserve"> Ставропольского края</w:t>
      </w:r>
      <w:r w:rsidRPr="00A17EF0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9B6034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9B6034" w:rsidRPr="00A17EF0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9B6034" w:rsidRPr="00A17EF0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/>
          <w:color w:val="222222"/>
          <w:sz w:val="28"/>
          <w:szCs w:val="28"/>
          <w:lang w:eastAsia="en-US"/>
        </w:rPr>
        <w:t>ПОСТАНОВЛЯЕТ:</w:t>
      </w:r>
    </w:p>
    <w:p w:rsidR="009B6034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9B6034" w:rsidRPr="00A17EF0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9B6034" w:rsidRDefault="009B6034" w:rsidP="009B6034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eastAsia="en-US"/>
        </w:rPr>
        <w:t>Утвердить прилагаемую муниципальную программу</w:t>
      </w:r>
      <w:r w:rsidRPr="00B177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eastAsia="Calibri" w:hAnsi="Times New Roman"/>
          <w:sz w:val="28"/>
          <w:szCs w:val="28"/>
          <w:lang w:eastAsia="en-US"/>
        </w:rPr>
        <w:t>о края «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Pr="00A17EF0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B6034" w:rsidRPr="00A17EF0" w:rsidRDefault="009B6034" w:rsidP="009B603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034" w:rsidRDefault="009B6034" w:rsidP="009B6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ascii="Times New Roman" w:hAnsi="Times New Roman"/>
          <w:sz w:val="28"/>
          <w:szCs w:val="24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hAnsi="Times New Roman"/>
          <w:sz w:val="28"/>
          <w:szCs w:val="24"/>
        </w:rPr>
        <w:t>Сухомлинову</w:t>
      </w:r>
      <w:proofErr w:type="spellEnd"/>
      <w:r>
        <w:rPr>
          <w:rFonts w:ascii="Times New Roman" w:hAnsi="Times New Roman"/>
          <w:sz w:val="28"/>
          <w:szCs w:val="24"/>
        </w:rPr>
        <w:t xml:space="preserve"> В.П.,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ascii="Times New Roman" w:hAnsi="Times New Roman"/>
          <w:sz w:val="28"/>
          <w:szCs w:val="24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</w:t>
      </w:r>
      <w:r w:rsidR="00774E71">
        <w:rPr>
          <w:rFonts w:ascii="Times New Roman" w:hAnsi="Times New Roman"/>
          <w:sz w:val="28"/>
          <w:szCs w:val="28"/>
        </w:rPr>
        <w:t>.</w:t>
      </w:r>
    </w:p>
    <w:p w:rsidR="009B6034" w:rsidRPr="00DF6425" w:rsidRDefault="009B6034" w:rsidP="009B6034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6425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Pr="00DF6425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 w:cs="Arial"/>
          <w:sz w:val="28"/>
          <w:szCs w:val="20"/>
        </w:rPr>
        <w:t>«</w:t>
      </w:r>
      <w:r w:rsidRPr="00DF6425">
        <w:rPr>
          <w:rFonts w:ascii="Times New Roman" w:hAnsi="Times New Roman" w:cs="Arial"/>
          <w:sz w:val="28"/>
          <w:szCs w:val="20"/>
        </w:rPr>
        <w:t xml:space="preserve">Об утверждении муниципальной программы Петровского городского округа Ставропольского </w:t>
      </w:r>
      <w:r w:rsidRPr="00DF6425">
        <w:rPr>
          <w:rFonts w:ascii="Times New Roman" w:hAnsi="Times New Roman" w:cs="Arial"/>
          <w:sz w:val="28"/>
          <w:szCs w:val="20"/>
        </w:rPr>
        <w:lastRenderedPageBreak/>
        <w:t>края «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жилищно-коммунального хозяйства</w:t>
      </w:r>
      <w:r w:rsidRPr="00DF6425">
        <w:rPr>
          <w:rFonts w:ascii="Times New Roman" w:hAnsi="Times New Roman" w:cs="Arial"/>
          <w:sz w:val="28"/>
          <w:szCs w:val="20"/>
        </w:rPr>
        <w:t>»</w:t>
      </w:r>
      <w:r>
        <w:rPr>
          <w:rFonts w:ascii="Times New Roman" w:hAnsi="Times New Roman" w:cs="Arial"/>
          <w:sz w:val="28"/>
          <w:szCs w:val="20"/>
        </w:rPr>
        <w:t xml:space="preserve"> </w:t>
      </w:r>
      <w:r w:rsidRPr="00DF6425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DF6425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B6034" w:rsidRDefault="009B6034" w:rsidP="009B6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034" w:rsidRPr="00814028" w:rsidRDefault="009B6034" w:rsidP="009B6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01 января 2021</w:t>
      </w:r>
      <w:r w:rsidR="006F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9B6034" w:rsidRDefault="009B6034" w:rsidP="009B6034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034" w:rsidRDefault="009B6034" w:rsidP="009B6034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034" w:rsidRDefault="009B6034" w:rsidP="009B6034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034" w:rsidRDefault="009B6034" w:rsidP="009B60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городского </w:t>
      </w:r>
    </w:p>
    <w:p w:rsidR="009B6034" w:rsidRPr="008A06A4" w:rsidRDefault="009B6034" w:rsidP="009B603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округа</w:t>
      </w:r>
      <w:r w:rsidRPr="008A06A4">
        <w:rPr>
          <w:rFonts w:ascii="Times New Roman" w:eastAsia="Calibri" w:hAnsi="Times New Roman"/>
          <w:sz w:val="28"/>
          <w:szCs w:val="28"/>
          <w:lang w:eastAsia="en-US"/>
        </w:rPr>
        <w:t xml:space="preserve"> Ставропольского края                                                      </w:t>
      </w:r>
      <w:proofErr w:type="spellStart"/>
      <w:r w:rsidRPr="008A06A4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9B6034" w:rsidRDefault="009B60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76" w:type="dxa"/>
        <w:tblLook w:val="01E0" w:firstRow="1" w:lastRow="1" w:firstColumn="1" w:lastColumn="1" w:noHBand="0" w:noVBand="0"/>
      </w:tblPr>
      <w:tblGrid>
        <w:gridCol w:w="5529"/>
        <w:gridCol w:w="4147"/>
      </w:tblGrid>
      <w:tr w:rsidR="00D604DE" w:rsidTr="009B6034">
        <w:tc>
          <w:tcPr>
            <w:tcW w:w="5529" w:type="dxa"/>
            <w:shd w:val="clear" w:color="auto" w:fill="auto"/>
          </w:tcPr>
          <w:p w:rsidR="00D604DE" w:rsidRDefault="00D604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D604DE" w:rsidRDefault="00D2173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D604DE" w:rsidTr="009B6034">
        <w:tc>
          <w:tcPr>
            <w:tcW w:w="5529" w:type="dxa"/>
            <w:shd w:val="clear" w:color="auto" w:fill="auto"/>
          </w:tcPr>
          <w:p w:rsidR="00D604DE" w:rsidRDefault="00D604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D604DE" w:rsidRDefault="00D2173D" w:rsidP="009B6034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D604DE" w:rsidRDefault="00D2173D" w:rsidP="009B603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D604DE" w:rsidTr="009B6034">
        <w:tc>
          <w:tcPr>
            <w:tcW w:w="5529" w:type="dxa"/>
            <w:shd w:val="clear" w:color="auto" w:fill="auto"/>
          </w:tcPr>
          <w:p w:rsidR="00D604DE" w:rsidRDefault="00D604D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D604DE" w:rsidRDefault="00D604DE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604DE" w:rsidRDefault="00D604D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D604DE" w:rsidRDefault="00D604D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D604DE" w:rsidRDefault="00D604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DE" w:rsidRDefault="00D2173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35"/>
      <w:bookmarkEnd w:id="2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80"/>
        <w:gridCol w:w="6984"/>
      </w:tblGrid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Наименование Программы</w:t>
            </w:r>
          </w:p>
          <w:p w:rsidR="00D604DE" w:rsidRDefault="00D60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Петровского городского округа Ставропольского края «Развитие жилищно-коммунального хозяйства» </w:t>
            </w:r>
            <w:r>
              <w:t>(далее - Программа)</w:t>
            </w:r>
          </w:p>
          <w:p w:rsidR="00D604DE" w:rsidRDefault="00D604DE">
            <w:pPr>
              <w:pStyle w:val="af7"/>
              <w:jc w:val="both"/>
              <w:rPr>
                <w:szCs w:val="28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Ответственный исполнитель Программы</w:t>
            </w:r>
          </w:p>
          <w:p w:rsidR="00D604DE" w:rsidRDefault="00D604DE">
            <w:pPr>
              <w:pStyle w:val="af7"/>
            </w:pP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управление </w:t>
            </w:r>
            <w:r>
              <w:rPr>
                <w:szCs w:val="28"/>
              </w:rPr>
              <w:t xml:space="preserve">муниципального хозяйства </w:t>
            </w:r>
            <w:r>
              <w:rPr>
                <w:rFonts w:eastAsia="Times New Roman"/>
                <w:szCs w:val="28"/>
                <w:lang w:eastAsia="ru-RU"/>
              </w:rPr>
              <w:t>администрации Петровского городского округа Ставропольского края (далее – управление муниципального хозяйства)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t xml:space="preserve">Соисполнители Программы 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управление по делам территорий администрации Петровского городского округа Ставропольского края (далее - управление по делам территорий);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муниципальное казенное учреждение «Петровский комбинат благоустройства и озеленения» (далее – МКУ «ПКБО»);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муниципальное бюджетное учреждения Петровского городского округа Ставропольского края «Коммунальное хозяйство» (далее - МБУ «КХ»)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t>Участники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жители Петровского городского округа Ставропольского края (по согласованию)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Подпрограммы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«</w:t>
            </w:r>
            <w:r>
              <w:rPr>
                <w:szCs w:val="28"/>
              </w:rPr>
              <w:t>Благоустройство Петровского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«Р</w:t>
            </w:r>
            <w:r>
              <w:rPr>
                <w:szCs w:val="28"/>
              </w:rPr>
              <w:t>азвитие систем коммунальной инфраструктуры, энергосбережение и повышение энергетической эффективности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«</w:t>
            </w:r>
            <w:r>
              <w:rPr>
                <w:szCs w:val="28"/>
              </w:rPr>
              <w:t>Капитальный ремонт общего имущества в многоквартирных домах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ar-SA"/>
              </w:rPr>
              <w:t xml:space="preserve">- </w:t>
            </w:r>
            <w:r>
              <w:rPr>
                <w:szCs w:val="28"/>
              </w:rPr>
              <w:t>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Цели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CourierNewPSMT"/>
                <w:szCs w:val="28"/>
              </w:rPr>
            </w:pPr>
            <w:r>
              <w:rPr>
                <w:rFonts w:eastAsia="CourierNewPSMT"/>
                <w:szCs w:val="28"/>
              </w:rPr>
              <w:t xml:space="preserve">- </w:t>
            </w:r>
            <w:r>
              <w:rPr>
                <w:szCs w:val="28"/>
              </w:rPr>
              <w:t>создание благоприятных и безопасных условий проживания в округе;</w:t>
            </w:r>
          </w:p>
          <w:p w:rsidR="00D604DE" w:rsidRDefault="00D2173D">
            <w:pPr>
              <w:pStyle w:val="af7"/>
              <w:jc w:val="both"/>
              <w:rPr>
                <w:rFonts w:eastAsia="CourierNewPSMT"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rFonts w:eastAsia="CourierNewPSMT"/>
                <w:szCs w:val="28"/>
              </w:rPr>
              <w:t>р</w:t>
            </w:r>
            <w:r>
              <w:rPr>
                <w:rFonts w:eastAsia="Times New Roman"/>
                <w:szCs w:val="28"/>
                <w:lang w:eastAsia="ru-RU"/>
              </w:rPr>
              <w:t>азвитие</w:t>
            </w:r>
            <w:r>
              <w:rPr>
                <w:szCs w:val="28"/>
              </w:rPr>
              <w:t xml:space="preserve">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коммунальной инфраструктуры и </w:t>
            </w:r>
            <w:r>
              <w:rPr>
                <w:szCs w:val="28"/>
              </w:rPr>
              <w:t>повышение энергетической эффективности использования топливно-энергетических ресурсов на территории округа</w:t>
            </w:r>
            <w:r>
              <w:rPr>
                <w:rFonts w:eastAsia="CourierNewPSMT"/>
                <w:szCs w:val="28"/>
              </w:rPr>
              <w:t>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CourierNewPSMT"/>
                <w:szCs w:val="28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  <w:p w:rsidR="00D604DE" w:rsidRDefault="00D6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Индикаторы достижения целей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szCs w:val="28"/>
              </w:rPr>
              <w:t>- доля площади округа, на которой обеспечено поддержание санитарно-эпидемиологического состояния в общей площади округа, подлежащей благоустройству;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инициативах; 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снижение объемов потребления энергетических ресурсов;</w:t>
            </w:r>
          </w:p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szCs w:val="28"/>
              </w:rPr>
              <w:t>- 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  <w:p w:rsidR="00D604DE" w:rsidRDefault="00D60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Сроки реализации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t>2021 - 2026 годы</w:t>
            </w: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Объемы и источники финансового обеспечения Программы</w:t>
            </w:r>
          </w:p>
          <w:p w:rsidR="00D604DE" w:rsidRDefault="00D604DE">
            <w:pPr>
              <w:pStyle w:val="af7"/>
            </w:pP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64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рублей;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3F8E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F8E">
              <w:rPr>
                <w:rFonts w:ascii="Times New Roman" w:hAnsi="Times New Roman"/>
                <w:sz w:val="28"/>
                <w:szCs w:val="28"/>
              </w:rPr>
              <w:t>283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97 605,22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9</w:t>
            </w:r>
            <w:r w:rsidR="00963F8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F8E">
              <w:rPr>
                <w:rFonts w:ascii="Times New Roman" w:hAnsi="Times New Roman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98 335,65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98 335,65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98 335,65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>98 335,65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программы– 51 005,31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16 149,52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34 855,79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604D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D604DE">
        <w:trPr>
          <w:trHeight w:val="1557"/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поддержание санитарно-эпидемиологического состояния округа; </w:t>
            </w:r>
          </w:p>
          <w:p w:rsidR="00D604DE" w:rsidRDefault="00D2173D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ежегодное снижение объемов потребления энергетических ресурсов на уровне 3 %;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 достигнет 55,40 % в 2026 году.</w:t>
            </w: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сформирована исходя целей социально-экономического развития Петровского городского округа Ставропольского края и показателей их достижения в соответствии с решением Совета депутатов Петровского городского округа Ставропольского края от 14 декабря 2018 года № 196 «Об утверждении стратегии социально-экономического развития Петровского городского округа Ставропольского края до 2035 года, прогнозами социально-экономического развития Петровского городского округа Ставропольского края на среднесрочный и долгосрочный периоды,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края: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РФ»;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27 июля 2010 года № 190-ФЗ «О теплоснабжении»;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7 декабря 2011 года № 416-ФЗ «О водоснабжении и водоотведении»;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24 июня 1998 года № 89-ФЗ «Об отходах производства и потребления»;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Правительства Ставропольского края от 29 декабря 2018 года № 627-п «Об утверждении государственной программы Ставропольского края «Развитие жилищно-коммунального хозяйства, защита населения и территории от чрезвычайных ситуаций»;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постановление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ред. от 30 августа 2018 г. № 1547, от 11 января 2019 г. № 9, от 08 августа 2019 г. №1645);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распоряжения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ред. от 19 октября 2018 г. № 571-р, от 04 декабря 2018 года № 656-р, от 20 сентября 2019 г. № 554-р, от 2 июля 2020 года № 370-р).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реализуемой муниципальной программы в области развития жилищно-коммунального хозяйства на территории Петровского городского округа Ставропольского края (далее – округ) является: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вопросов комплексной модернизации коммунальной инфраструктуры;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мероприятий по капитальному ремонту многоквартирных домов;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энергосбережения и энергетической эффективности использования топливно-энергетических ресурсов;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поддержание санитарных норм и эстетичного вида территории;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улучшение состояния зеленого фонда на территории округа. </w:t>
      </w:r>
    </w:p>
    <w:p w:rsidR="00D604DE" w:rsidRDefault="00D2173D">
      <w:pPr>
        <w:pStyle w:val="af7"/>
        <w:ind w:firstLine="708"/>
        <w:jc w:val="both"/>
        <w:rPr>
          <w:rFonts w:eastAsia="CourierNewPSMT"/>
          <w:szCs w:val="28"/>
        </w:rPr>
      </w:pPr>
      <w:r>
        <w:t>Основными целями Программы являются:</w:t>
      </w:r>
    </w:p>
    <w:p w:rsidR="00D604DE" w:rsidRDefault="00D2173D">
      <w:pPr>
        <w:pStyle w:val="af7"/>
        <w:ind w:firstLine="708"/>
        <w:jc w:val="both"/>
        <w:rPr>
          <w:rFonts w:eastAsia="CourierNewPSMT"/>
          <w:szCs w:val="28"/>
        </w:rPr>
      </w:pPr>
      <w:r>
        <w:rPr>
          <w:rFonts w:eastAsia="CourierNewPSMT"/>
          <w:szCs w:val="28"/>
        </w:rPr>
        <w:t xml:space="preserve">- </w:t>
      </w:r>
      <w:r>
        <w:rPr>
          <w:szCs w:val="28"/>
        </w:rPr>
        <w:t>создание благоприятных и безопасных условий проживания в округе</w:t>
      </w:r>
      <w:r>
        <w:rPr>
          <w:rFonts w:eastAsia="CourierNewPSMT"/>
          <w:szCs w:val="28"/>
        </w:rPr>
        <w:t>;</w:t>
      </w:r>
    </w:p>
    <w:p w:rsidR="00D604DE" w:rsidRDefault="00D2173D">
      <w:pPr>
        <w:pStyle w:val="af7"/>
        <w:ind w:firstLine="708"/>
        <w:jc w:val="both"/>
        <w:rPr>
          <w:rFonts w:eastAsia="CourierNewPSMT"/>
          <w:szCs w:val="28"/>
        </w:rPr>
      </w:pPr>
      <w:r>
        <w:rPr>
          <w:szCs w:val="28"/>
        </w:rPr>
        <w:t xml:space="preserve">- </w:t>
      </w:r>
      <w:r>
        <w:rPr>
          <w:rFonts w:eastAsia="CourierNewPSMT"/>
          <w:szCs w:val="28"/>
        </w:rPr>
        <w:t>р</w:t>
      </w:r>
      <w:r>
        <w:rPr>
          <w:rFonts w:eastAsia="Times New Roman"/>
          <w:szCs w:val="28"/>
          <w:lang w:eastAsia="ru-RU"/>
        </w:rPr>
        <w:t>азвитие</w:t>
      </w:r>
      <w:r>
        <w:rPr>
          <w:szCs w:val="28"/>
        </w:rPr>
        <w:t xml:space="preserve"> систем</w:t>
      </w:r>
      <w:r>
        <w:rPr>
          <w:rFonts w:eastAsia="Times New Roman"/>
          <w:szCs w:val="28"/>
          <w:lang w:eastAsia="ru-RU"/>
        </w:rPr>
        <w:t xml:space="preserve"> коммунальной инфраструктуры и </w:t>
      </w:r>
      <w:r>
        <w:rPr>
          <w:szCs w:val="28"/>
        </w:rPr>
        <w:t>повышение энергетической эффективности использования топливно-энергетических ресурсов на территории округа</w:t>
      </w:r>
      <w:r>
        <w:rPr>
          <w:rFonts w:eastAsia="CourierNewPSMT"/>
          <w:szCs w:val="28"/>
        </w:rPr>
        <w:t>;</w:t>
      </w:r>
    </w:p>
    <w:p w:rsidR="00D604DE" w:rsidRDefault="00D2173D">
      <w:pPr>
        <w:pStyle w:val="af7"/>
        <w:tabs>
          <w:tab w:val="left" w:pos="5103"/>
        </w:tabs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CourierNewPSMT"/>
          <w:szCs w:val="28"/>
        </w:rPr>
        <w:t>- с</w:t>
      </w:r>
      <w:r>
        <w:rPr>
          <w:rFonts w:eastAsia="Times New Roman"/>
          <w:szCs w:val="28"/>
          <w:lang w:eastAsia="ru-RU"/>
        </w:rPr>
        <w:t>оздание комфортных и безопасных условий проживания в многоквартирных домах.</w:t>
      </w:r>
    </w:p>
    <w:p w:rsidR="00D604DE" w:rsidRDefault="00D2173D">
      <w:pPr>
        <w:pStyle w:val="af7"/>
        <w:ind w:firstLine="708"/>
        <w:jc w:val="both"/>
        <w:rPr>
          <w:rFonts w:eastAsia="CourierNewPSMT"/>
        </w:rPr>
      </w:pPr>
      <w:r>
        <w:rPr>
          <w:rFonts w:eastAsia="CourierNewPSMT"/>
        </w:rPr>
        <w:t>Для достижения цели Программы необходимо решить следующие задачи:</w:t>
      </w:r>
    </w:p>
    <w:p w:rsidR="00D604DE" w:rsidRDefault="00D2173D">
      <w:pPr>
        <w:pStyle w:val="af7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приведение в качественное состояние элементов благоустройства округа и улучшение санитарно-эпидемиологического состояния территории округа;</w:t>
      </w:r>
    </w:p>
    <w:p w:rsidR="00D604DE" w:rsidRDefault="00D2173D">
      <w:pPr>
        <w:pStyle w:val="af7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реализация мероприятий в области энергосбережения и комплексного развития коммунальной инфраструктуры;</w:t>
      </w:r>
    </w:p>
    <w:p w:rsidR="00D604DE" w:rsidRDefault="00D2173D">
      <w:pPr>
        <w:pStyle w:val="af7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подпрограмм Программы приведены в приложениях 1 - 4.</w:t>
      </w:r>
    </w:p>
    <w:p w:rsidR="00D604DE" w:rsidRDefault="00D2173D">
      <w:pPr>
        <w:pStyle w:val="af7"/>
        <w:ind w:firstLine="708"/>
        <w:jc w:val="both"/>
      </w:pPr>
      <w:r>
        <w:t>Сведения об индикаторах достижения целей Программы и показателях решения задач подпрограмм Программы, и их значениях приведены в приложении 5.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6.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</w:t>
      </w:r>
      <w:r>
        <w:rPr>
          <w:rFonts w:ascii="Times New Roman" w:hAnsi="Times New Roman"/>
          <w:sz w:val="28"/>
          <w:szCs w:val="28"/>
        </w:rPr>
        <w:br/>
        <w:t>приложении 7.</w:t>
      </w:r>
    </w:p>
    <w:p w:rsidR="00D604DE" w:rsidRDefault="00D217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 Программы, отражающих значимость (вес)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Программы в достижении стратегических целей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Петровского городского округа Ставропольского края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другими целями Программы, влияющими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достижение тех же стратегических целей социально-экономического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Петровского городского округа Ставропольского края, и задачи подпрограммы Программы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достижении цели Программы в сравнении с другими задачами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Программы в достижении той же цели Программы</w:t>
      </w:r>
      <w:r>
        <w:rPr>
          <w:rFonts w:ascii="Times New Roman" w:hAnsi="Times New Roman"/>
          <w:sz w:val="28"/>
          <w:szCs w:val="28"/>
        </w:rPr>
        <w:t xml:space="preserve"> приведены </w:t>
      </w:r>
      <w:r>
        <w:rPr>
          <w:rFonts w:ascii="Times New Roman" w:hAnsi="Times New Roman"/>
          <w:sz w:val="28"/>
          <w:szCs w:val="28"/>
        </w:rPr>
        <w:br/>
        <w:t>в приложении 8.</w:t>
      </w:r>
    </w:p>
    <w:p w:rsidR="00D604DE" w:rsidRDefault="00D60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604DE" w:rsidRDefault="00D217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D604DE" w:rsidRDefault="00D217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Е.И.Сергеева</w:t>
      </w:r>
      <w:proofErr w:type="spellEnd"/>
    </w:p>
    <w:p w:rsidR="00D604DE" w:rsidRDefault="00D60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D604DE" w:rsidRDefault="00D2173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604DE" w:rsidRDefault="00D2173D">
      <w:pPr>
        <w:pStyle w:val="1"/>
        <w:spacing w:before="0" w:line="240" w:lineRule="exact"/>
        <w:ind w:left="5103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rPr>
          <w:rFonts w:ascii="Times New Roman" w:hAnsi="Times New Roman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ourierNewPSMT" w:hAnsi="Times New Roman"/>
          <w:sz w:val="28"/>
          <w:szCs w:val="28"/>
        </w:rPr>
        <w:t>Благоустройство Петровского городского округа</w:t>
      </w:r>
      <w:r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eastAsia="CourierNewPSMT" w:hAnsi="Times New Roman"/>
          <w:sz w:val="28"/>
          <w:szCs w:val="28"/>
        </w:rPr>
        <w:t>Благоустройство Петровского городского округа</w:t>
      </w:r>
      <w:r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W w:w="9101" w:type="dxa"/>
        <w:tblLook w:val="04A0" w:firstRow="1" w:lastRow="0" w:firstColumn="1" w:lastColumn="0" w:noHBand="0" w:noVBand="1"/>
      </w:tblPr>
      <w:tblGrid>
        <w:gridCol w:w="4140"/>
        <w:gridCol w:w="4961"/>
      </w:tblGrid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D604DE" w:rsidRDefault="00D6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eastAsia="CourierNewPSMT" w:hAnsi="Times New Roman"/>
                <w:sz w:val="28"/>
                <w:szCs w:val="28"/>
              </w:rPr>
              <w:t>Благоустройство 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МКУ «ПКБО», 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«КХ»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округа (по согласованию)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приведение в качественное состояние элементов благоустройства округа и улучшение санитарно-эпидемиологического состояния территории округа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количество саженцев, высаженных на территории округа;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площадь территории скверов и парков, подлежащая благоустройству;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площадь мест захоронения, на которых обеспечено содержание территории;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доля безродных граждан, погребенных за счет средств местного бюджета;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доля отловленных безнадзорных животных в общей численности выявленных безнадзорных животных;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количество реализованных проектов развития территорий муниципальных образований, основанных на местных инициативах (нарастающим итогом)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2026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89 691,85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14 944,70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963F8E">
              <w:rPr>
                <w:rFonts w:ascii="Times New Roman" w:hAnsi="Times New Roman"/>
                <w:sz w:val="28"/>
                <w:szCs w:val="28"/>
              </w:rPr>
              <w:t>4 949,43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</w:tc>
      </w:tr>
      <w:tr w:rsidR="00D604D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обеспечение доли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 на уровне 100%;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саженцев, высаженных на территории округа, достигнет 2500 единиц в год;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содержания территории скверов и парков, подлежащей благоустройству площадью 10,84 га;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обеспечение содержания территории мест захоронения на площади 91,65 га;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погребения безродных граждан за счет средств бюджета округа на уровне 100 %;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безнадзорных животных;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реализованных проектов развития территорий муниципальных образований, основанных на местных инициативах до 23 единиц к 2026 году</w:t>
            </w:r>
          </w:p>
        </w:tc>
      </w:tr>
    </w:tbl>
    <w:p w:rsidR="00D604DE" w:rsidRDefault="00D60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604DE" w:rsidRDefault="00D60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Уборка и поддержание в надлежащем санитарном состоянии территории округа.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проведение работ по ручной и механизированной уборке территории, восстановление территории после загрязнения и другую аналогичную деятельность, сбор и вывоз мусора со стихийных свалок.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МБУ «КХ».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Озеленение территории округа.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посадку зеленых насаждений; обеспечение квалифицированного ухода за зелеными насаждениями; цветочное оформление округа; в летнее время и сухую погоду полив газонов, цветников, деревьев и кустарников.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МБУ «КХ». Участники – не предусмотрены.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Обеспечение прочих мероприятий по благоустройству.</w:t>
      </w:r>
    </w:p>
    <w:p w:rsidR="00D604DE" w:rsidRDefault="00D2173D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приобретение материалов, организацию и проведение работ, необходимых для улучшения санитарного состояния территории округа; спил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зеленых насаждений;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 территории парков и скверов; содержание мест массового отдыха в соответствии с требованиями государственных стандартов и санитарных правил: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Светлоград, сквер Гайдара;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Светлоград, сквер Гагарина;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Светлоград, площадь 50 лет Октября;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Светлоград, парк Победы;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Высоцкое, парк по ул. Советская;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Ореховка, парк по ул. Красная;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Благодатное, парк по ул. Советская;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Николина Балка, парк по ул. Шоссейная;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Константиновское, парк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Шведино, парк по ул. Ленина;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Прикалаусский, парк.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управление по делам территорий, МКУ «ПКБО», МБУ «КХ». Участники – не предусмотрены.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Организация ритуальных услуг и содержание мест захоронения.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мероприятия предполагает содержание в надлежащем техническом состоянии территории кладбищ, расходы на захоронение безродных граждан.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МКУ «ПКБО», МБУ «КХ». Участники – не предусмотрены.</w:t>
      </w:r>
    </w:p>
    <w:p w:rsidR="00D604DE" w:rsidRDefault="00D2173D">
      <w:pPr>
        <w:pStyle w:val="62"/>
        <w:shd w:val="clear" w:color="auto" w:fill="auto"/>
        <w:tabs>
          <w:tab w:val="left" w:pos="82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Организация проведения мероприятий по отлову и содержанию безнадзорных животных. 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 комплекса мероприятий по регулированию численности безнадзорных животных; организацию и проведение мероприятий по предупреждению и ликвидации болезней животных, их лечению, отлову и содержанию безнадзорных животных; защиту населения от болезней, общих для человека и животных.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Реализация проектов развития территорий муниципальных образований, основанных на местных инициативах.</w:t>
      </w:r>
    </w:p>
    <w:p w:rsidR="00D604DE" w:rsidRDefault="00D2173D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предполагается реализация проектов по благоустройству территории округа, основанных на инициативах жителей округа.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Соисполнители – управление по делам территорий. Участники – жители округа (по согласованию).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D604DE" w:rsidRDefault="00D2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обеспечение доли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 на уровне 100%;</w:t>
      </w:r>
    </w:p>
    <w:p w:rsidR="00D604DE" w:rsidRDefault="00D2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саженцев, высаженных на территории округа, достигнет 2500 единиц в 2026 году;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обеспечение содержания площади территорий скверов и парков, подлежащей благоустройству в размере 10,84 га;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ежегодное обеспечение содержания территории мест захоронения на площади 91,65 га;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обеспечение погребения безродных граждан за счет средств бюджета округа на уровне 100 %;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безнадзорных животных, поддержание санитарно-эпидемиологического состояния и исключение распространения инфекционных заболеваний, общих для человека и животных;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реализованных проектов развития территорий муниципальных образований, основанных на местных инициативах до 23 единиц к 2026 году.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  <w:sectPr w:rsidR="00D604DE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приложении 6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Программе.</w:t>
      </w:r>
      <w:r>
        <w:rPr>
          <w:rFonts w:ascii="Times New Roman" w:hAnsi="Times New Roman" w:cs="Times New Roman"/>
          <w:szCs w:val="28"/>
        </w:rPr>
        <w:tab/>
      </w:r>
      <w:proofErr w:type="gramEnd"/>
    </w:p>
    <w:p w:rsidR="00D604DE" w:rsidRDefault="00D2173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604DE" w:rsidRDefault="00D2173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 коммунальной инфраструктуры, 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«Развитие систем коммунальной инфраструктуры, 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605"/>
        <w:gridCol w:w="4751"/>
      </w:tblGrid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D604DE" w:rsidRDefault="00D6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систем коммунальной инфраструктуры, 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мероприятий в области энергосбережения и комплексного развития коммунальной инфраструктуры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актуализированных схем теплоснабжения, водоснабжения и водоотведения по отношению к общему количеству схем, актуализация которых необходима для качественного теплоснабжения, водоснабжения и водоотведения;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установленных новых энергосберегающих фонарей уличного освещения </w:t>
            </w:r>
            <w:bookmarkStart w:id="3" w:name="__DdeLink__9974_368870550"/>
            <w:r>
              <w:rPr>
                <w:rFonts w:ascii="Times New Roman" w:hAnsi="Times New Roman" w:cs="Times New Roman"/>
                <w:sz w:val="28"/>
                <w:szCs w:val="28"/>
              </w:rPr>
              <w:t>(нарастающим итогом);</w:t>
            </w:r>
            <w:bookmarkEnd w:id="3"/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потребления электроэнергии на уличное освещение;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протяженность освещенных улиц и автомобильных дорог общего пользования местного значения (нарастающим итогом);</w:t>
            </w:r>
          </w:p>
          <w:p w:rsidR="00D604DE" w:rsidRDefault="00D2173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4" w:name="__DdeLink__47275_4107868133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жителей округа по вопросам энергосбережения и комплексного развития коммунальной инфраструктуры</w:t>
            </w:r>
            <w:bookmarkEnd w:id="4"/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2026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112 084,57 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112 084,57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18 515,87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18 713,74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поддержание доли актуализированных схем теплоснабжения, водоснабжения и водоотведения по отношению к общему количеству схем, актуализация которых необходима для качественного теплоснабжения, водоснабжения и водоотведения на уровне 100 %;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установленных новых энергосберегающих фонарей уличного освещения до 467 единиц в 2026 году;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сокращение потребления электроэнергии на уличное освещение на 0,1%;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освещенных улиц и автомобильных дорог общего пользования местного значения – до 448,30 км к 2026 году;</w:t>
            </w:r>
          </w:p>
          <w:p w:rsidR="00D604DE" w:rsidRDefault="00D2173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информационное обеспечение жителей округа по вопросам энергосбережения и комплексного развития коммунальной инфраструктуры на уровне 100 %</w:t>
            </w:r>
          </w:p>
        </w:tc>
      </w:tr>
    </w:tbl>
    <w:p w:rsidR="00D604DE" w:rsidRDefault="00D604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Актуализация схем теплоснабжения, водоснабжения и водоотведения.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определение долгосрочной перспективы развития централизованных систем водоснабжения, водоотведения и теплоснабжения городского округа, комплексной оценки данной сферы, оценки размера средств, необходимых для решения проблем данной сферы, а также ее развития.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Мероприятия по энергосбережению и повышению энергетической эффективности.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реализацию комплекса мер, направленных на </w:t>
      </w:r>
      <w:r>
        <w:rPr>
          <w:rFonts w:ascii="Times New Roman" w:eastAsia="Calibri" w:hAnsi="Times New Roman" w:cs="Times New Roman"/>
          <w:sz w:val="28"/>
        </w:rPr>
        <w:t>повышение энергетической эффективности при потреблении энергетических ресурсов: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энергосберегающих фонарей;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систем уличного освещения.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управление по делам территорий. Участники не предусмотрены.</w:t>
      </w:r>
    </w:p>
    <w:p w:rsidR="00D604DE" w:rsidRDefault="00D2173D">
      <w:pPr>
        <w:pStyle w:val="af7"/>
        <w:ind w:firstLine="709"/>
        <w:jc w:val="both"/>
        <w:rPr>
          <w:szCs w:val="28"/>
          <w:highlight w:val="yellow"/>
        </w:rPr>
      </w:pPr>
      <w:r>
        <w:rPr>
          <w:szCs w:val="28"/>
        </w:rPr>
        <w:t>3) Реализация проекта «Школа грамотного потребителя».</w:t>
      </w:r>
    </w:p>
    <w:p w:rsidR="00D604DE" w:rsidRDefault="00D2173D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предполагает организацию проведения ежемесячных бесплатных занятий для повышения грамотности населения округа в области энергосбережения и комплексного развития коммунальной инфраструктуры (лекции предоставляются министерством жилищно-коммунального хозяйства Ставропольского края) в рамках краевой программы «Обеспечение защиты прав потребителей в Ставропольском крае на 2018-2022 годы», утвержденной постановлением Правительства Ставропольского края от 28 апреля 2018 года № 170-п.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доли актуализированных схем теплоснабжения, водоснабжения и водоотведения по отношению к общему количеству схем, актуализация которых необходима для качественного теплоснабжения, водоснабжения и водоотведения на уровне 100 %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5"/>
      <w:r>
        <w:rPr>
          <w:rFonts w:ascii="Times New Roman" w:hAnsi="Times New Roman" w:cs="Times New Roman"/>
          <w:sz w:val="28"/>
          <w:szCs w:val="28"/>
        </w:rPr>
        <w:t>- увеличение установленных новых энергосберегающих фонарей уличного освещения до 467 единиц в 2026 году;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сокращение на 0,1 % потребления электроэнергии на уличное освещение;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протяженности освещенных улиц и автомобильных дорог общего пользования местного значения – до 448,3 км к 2026 году;</w:t>
      </w:r>
    </w:p>
    <w:p w:rsidR="00D604DE" w:rsidRDefault="00D2173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ежегодное информационное обеспечение жителей округа по вопросам энергосбережения и комплексного развития коммунальной инфраструктуры на уровне 100 %.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  <w:sectPr w:rsidR="00D604DE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приведен в приложении 6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Программе.</w:t>
      </w:r>
      <w:r>
        <w:rPr>
          <w:rFonts w:ascii="Times New Roman" w:hAnsi="Times New Roman" w:cs="Times New Roman"/>
          <w:szCs w:val="28"/>
        </w:rPr>
        <w:tab/>
      </w:r>
      <w:proofErr w:type="gramEnd"/>
    </w:p>
    <w:tbl>
      <w:tblPr>
        <w:tblW w:w="4426" w:type="dxa"/>
        <w:tblInd w:w="4928" w:type="dxa"/>
        <w:tblLook w:val="01E0" w:firstRow="1" w:lastRow="1" w:firstColumn="1" w:lastColumn="1" w:noHBand="0" w:noVBand="0"/>
      </w:tblPr>
      <w:tblGrid>
        <w:gridCol w:w="4426"/>
      </w:tblGrid>
      <w:tr w:rsidR="00D604DE">
        <w:tc>
          <w:tcPr>
            <w:tcW w:w="4426" w:type="dxa"/>
            <w:shd w:val="clear" w:color="auto" w:fill="auto"/>
          </w:tcPr>
          <w:p w:rsidR="00D604DE" w:rsidRDefault="00D2173D">
            <w:pPr>
              <w:pageBreakBefore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D604DE" w:rsidRDefault="00D2173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  <w:p w:rsidR="00D604DE" w:rsidRDefault="00D604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605"/>
        <w:gridCol w:w="4751"/>
      </w:tblGrid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D604DE" w:rsidRDefault="00D6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«ПКБО»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многоквартирных домов (далее – жители МКД) (по согласованию) 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эффективное планирование и   организация своевременного   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жилых помещений муниципального жилищного фонда, в котором произведен капитальный ремонт (нарастающим итогом); 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2026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54 982,77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>3 977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662,91тысяч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662,91тысяч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51 005,31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16 149,52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34 855,79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поддержание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на уровне 100 %;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жилых помещений муниципального жилищного фонда, в котором произведен капитальный ремонт достигнет 164,30 кв. м. к 2026 году;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ежегодная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собственность, составит 100%</w:t>
            </w: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Капитальный ремонт общего имущества в многоквартирных домах.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в соответствии с региональной программой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«Капитальный ремонт общего имущества в многоквартирных домах, расположенных на территории Ставропольского края, на 2014-2043 годы»,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Ставропольского края от 29 мая 2014 № 225-п, а также муниципальным краткосрочным планом реализации региональной программы капитального ремонта в отношении общего имущества в многоквартирных домах, расположенных на территории Петровского городского округа Ставропольского края, на 2020 - 2022 годы, утвержденного постановлением администрации Петровского городского округа от 13 марта 2019 г. № 584. Проведение контроля и приемки выполненных работ по капитальному ремонту общего имущества в МКД.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Участники – жители МКД (по согласованию).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муниципального жилищного фонда.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предполагает проведение капитального ремонта муниципального жилищного фонда, в том числе жилых помещений, предоставленных по договорам социального найма.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Капитальный ремонт общего имущества многоквартирных домов, в которых расположены помещения муниципальной собственности.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оплату взносов на капитальный ремонт общего имущества в многоквартирных домах, расположенных на территории округа, в которых находятся помещения муниципальной собственности.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МКУ «ПКБО». Участники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собственность, ежегодно будет составлять 100%;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жилых помещений муниципального жилищного фонда, в котором произведен капитальный ремонт достигнет 164,3 кв. м к 2026 году;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поддержание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на уровне 100 %.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6 к Программе.</w:t>
      </w:r>
      <w:r>
        <w:rPr>
          <w:rFonts w:ascii="Times New Roman" w:hAnsi="Times New Roman" w:cs="Times New Roman"/>
          <w:szCs w:val="28"/>
        </w:rPr>
        <w:tab/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>
        <w:br w:type="page"/>
      </w:r>
    </w:p>
    <w:tbl>
      <w:tblPr>
        <w:tblW w:w="4568" w:type="dxa"/>
        <w:tblInd w:w="4962" w:type="dxa"/>
        <w:tblLook w:val="01E0" w:firstRow="1" w:lastRow="1" w:firstColumn="1" w:lastColumn="1" w:noHBand="0" w:noVBand="0"/>
      </w:tblPr>
      <w:tblGrid>
        <w:gridCol w:w="4568"/>
      </w:tblGrid>
      <w:tr w:rsidR="00D604DE">
        <w:tc>
          <w:tcPr>
            <w:tcW w:w="4568" w:type="dxa"/>
            <w:shd w:val="clear" w:color="auto" w:fill="auto"/>
          </w:tcPr>
          <w:p w:rsidR="00D604DE" w:rsidRDefault="00D2173D">
            <w:pPr>
              <w:pageBreakBefore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D604DE" w:rsidRDefault="00D2173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</w:r>
    </w:p>
    <w:p w:rsidR="00D604DE" w:rsidRDefault="00D604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 муниципальной программы Петровского городского округа Ставропольского края «Развитие жилищно-коммунального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управлением муниципального хозяйства в рамках функций, определенных Положением </w:t>
      </w:r>
      <w:r>
        <w:rPr>
          <w:rStyle w:val="FontStyle29"/>
          <w:sz w:val="28"/>
          <w:szCs w:val="28"/>
        </w:rPr>
        <w:t xml:space="preserve">об управлении </w:t>
      </w:r>
      <w:r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>
        <w:rPr>
          <w:rStyle w:val="FontStyle29"/>
          <w:sz w:val="28"/>
          <w:szCs w:val="28"/>
        </w:rPr>
        <w:t>администрации 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управления муниципального хозяйства.</w:t>
      </w:r>
    </w:p>
    <w:p w:rsidR="00D604DE" w:rsidRDefault="00D2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составит 383 529,59 тыс. рублей, в том числе по источникам финансового обеспечения: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Ставропольского края – 0,00 тыс. рублей, в том числе по годам: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0,00 тысяч рублей.</w:t>
      </w:r>
    </w:p>
    <w:p w:rsidR="00D604DE" w:rsidRDefault="00D217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округа – 383 529,59 тыс. рублей, в том числе по годам: 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63 481,74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64 009,57 тысяч рублей.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расходы бюджета округа – 0,00 тыс. рублей, в том числе по годам: 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0,00 тысяч рублей.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участников программы – 0,00 тыс. рублей, в том числе по годам: 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0,00 тысяч рублей.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предусматривает реализацию основного мероприятия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мероприятия».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рамках данного мероприятия предполагается: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осуществление функций управления муниципального хозяйства во взаимодействии с органами исполнительной власти Ставропольского края и отделами, органами администрации округа;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обеспечение управленческой и организационной деятельности управления муниципального хозяйства, МКУ «ПКБО», МБУ «КХ»,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расходы на выплату персоналу;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закупка товаров, работ и услуг для обеспечения муниципальных нужд;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уплата налогов, сборов и иных платежей.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муниципального хозяйства. Соисполнитель - МКУ «ПКБО», МБУ «КХ».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6 к Программе.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04DE" w:rsidRDefault="00D604D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  <w:sectPr w:rsidR="00D604DE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</w:p>
    <w:p w:rsidR="00D604DE" w:rsidRDefault="00D2173D">
      <w:pPr>
        <w:widowControl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D604DE" w:rsidRDefault="00D2173D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4DE" w:rsidRDefault="00D2173D">
      <w:pPr>
        <w:pStyle w:val="af7"/>
        <w:jc w:val="center"/>
      </w:pPr>
      <w:bookmarkStart w:id="6" w:name="P297"/>
      <w:bookmarkEnd w:id="6"/>
      <w:r>
        <w:t>СВЕДЕНИЯ</w:t>
      </w:r>
    </w:p>
    <w:p w:rsidR="00D604DE" w:rsidRDefault="00D2173D">
      <w:pPr>
        <w:pStyle w:val="af7"/>
        <w:jc w:val="center"/>
      </w:pPr>
      <w: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Программы, и их значениях</w:t>
      </w:r>
    </w:p>
    <w:p w:rsidR="00D604DE" w:rsidRDefault="00D604DE">
      <w:pPr>
        <w:pStyle w:val="af7"/>
        <w:jc w:val="center"/>
        <w:rPr>
          <w:sz w:val="24"/>
          <w:szCs w:val="24"/>
        </w:rPr>
      </w:pPr>
    </w:p>
    <w:tbl>
      <w:tblPr>
        <w:tblW w:w="1439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6051"/>
        <w:gridCol w:w="1132"/>
        <w:gridCol w:w="847"/>
        <w:gridCol w:w="847"/>
        <w:gridCol w:w="845"/>
        <w:gridCol w:w="845"/>
        <w:gridCol w:w="847"/>
        <w:gridCol w:w="845"/>
        <w:gridCol w:w="847"/>
        <w:gridCol w:w="849"/>
      </w:tblGrid>
      <w:tr w:rsidR="00D604DE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6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604DE"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6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1. Создание благоприятных и безопасных условий проживания в округе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rPr>
                <w:sz w:val="22"/>
              </w:rPr>
              <w:t>Доля площади округа, на которой обеспечено поддержание санитарно-эпидемиологического состояния в общей площади округа, подлежащей благоустройству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рублей на рубль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1. «</w:t>
            </w:r>
            <w:r>
              <w:rPr>
                <w:rFonts w:eastAsia="CourierNewPSMT"/>
                <w:b/>
                <w:sz w:val="22"/>
              </w:rPr>
              <w:t>Благоустройство Петровского городского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округа</w:t>
            </w:r>
            <w:r>
              <w:rPr>
                <w:b/>
                <w:sz w:val="22"/>
              </w:rPr>
              <w:t>»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Задача 1 Подпрограммы 1. Приведение в качественное состояние элементов благоустройства округа и улучшение санитарно-эпидемиологического состояния территории округа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саженцев, высаженных на территории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территории скверов и парков, подлежащая благоустройству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Площадь мест захоронения, на которых обеспечено содержание территории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</w:tr>
      <w:tr w:rsidR="00D604DE">
        <w:trPr>
          <w:trHeight w:val="52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безродных граждан, погребенных за счет средств местного бюджета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отловленных безнадзорных животных в общей численности выявленных безнадзорных животных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 развития территорий муниципальных образований, основанных на местных инициативах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D604DE">
        <w:tc>
          <w:tcPr>
            <w:tcW w:w="1439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b/>
                <w:sz w:val="22"/>
              </w:rPr>
              <w:t xml:space="preserve">Цель 2. </w:t>
            </w:r>
            <w:r>
              <w:rPr>
                <w:rFonts w:eastAsia="Times New Roman"/>
                <w:b/>
                <w:sz w:val="22"/>
                <w:lang w:eastAsia="ru-RU"/>
              </w:rPr>
              <w:t>Развитие систем коммунальной инфраструктуры</w:t>
            </w:r>
            <w:r>
              <w:rPr>
                <w:b/>
                <w:sz w:val="22"/>
              </w:rPr>
              <w:t xml:space="preserve"> и 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D604DE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Снижение объемов потребления энергетических ресурсов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2. «Развитие систем коммунальной инфраструктуры, энергосбережение и повышение энергетической эффективности»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Задача 1 Подпрограммы 2. Реализация мероприятий в области энергосбережения и </w:t>
            </w:r>
            <w:r>
              <w:rPr>
                <w:b/>
                <w:sz w:val="22"/>
                <w:szCs w:val="20"/>
              </w:rPr>
              <w:t>комплексного развития коммунальной инфраструктуры</w:t>
            </w:r>
          </w:p>
        </w:tc>
      </w:tr>
      <w:tr w:rsidR="00D604DE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rPr>
                <w:sz w:val="22"/>
              </w:rPr>
              <w:t>Доля актуализированных схем теплоснабжения, водоснабжения и водоотведения по отношению к общему количеству схем, актуализация которых необходима для</w:t>
            </w:r>
          </w:p>
          <w:p w:rsidR="00D604DE" w:rsidRDefault="00D604DE">
            <w:pPr>
              <w:pStyle w:val="af7"/>
              <w:jc w:val="both"/>
              <w:rPr>
                <w:sz w:val="22"/>
              </w:rPr>
            </w:pPr>
          </w:p>
          <w:p w:rsidR="00D604DE" w:rsidRDefault="00D2173D">
            <w:pPr>
              <w:pStyle w:val="af7"/>
              <w:jc w:val="both"/>
            </w:pPr>
            <w:r>
              <w:rPr>
                <w:sz w:val="22"/>
              </w:rPr>
              <w:t>качественного теплоснабжения, водоснабжения и водоотведения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Общее количество установленных новых энергосберегающих фонарей уличного освещения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Сокращение потребления электроэнергии на уличное освещение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 к пред шествую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году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20157A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Протяженност</w:t>
            </w:r>
            <w:r w:rsidR="0020157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освещенных улиц и автомобильных дорог общего пользования местного значения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434,10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442,30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443,30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445,30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446,30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447,30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448,30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widowControl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Информационное обеспечение жителей округа по вопросам энергосбережения и комплексного развития коммунальной инфраструктуры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Цель 3. </w:t>
            </w:r>
            <w:r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44,90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46,40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47,90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49,40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52,40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53,90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55,40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>
              <w:rPr>
                <w:b/>
                <w:sz w:val="22"/>
              </w:rPr>
              <w:t>Капитальный ремонт общего имущества в многоквартирных домах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Задача 1 Подпрограммы 3. </w:t>
            </w:r>
            <w:r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D604DE">
        <w:trPr>
          <w:trHeight w:val="151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жилых помещений муниципального жилищного фонда, в котором произведен капитальный ремонт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124,30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144,30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164,30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604DE" w:rsidRDefault="00D604DE">
      <w:pPr>
        <w:sectPr w:rsidR="00D604DE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100"/>
        </w:sectPr>
      </w:pPr>
    </w:p>
    <w:p w:rsidR="00D604DE" w:rsidRDefault="00D2173D">
      <w:pPr>
        <w:widowControl w:val="0"/>
        <w:spacing w:after="0" w:line="240" w:lineRule="exact"/>
        <w:ind w:left="1020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604DE" w:rsidRDefault="00D2173D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D604DE" w:rsidRDefault="00D60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03"/>
      <w:bookmarkEnd w:id="7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5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0"/>
        <w:gridCol w:w="2735"/>
        <w:gridCol w:w="3543"/>
        <w:gridCol w:w="2089"/>
        <w:gridCol w:w="1195"/>
        <w:gridCol w:w="1275"/>
        <w:gridCol w:w="3152"/>
      </w:tblGrid>
      <w:tr w:rsidR="00D604DE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 xml:space="preserve">Тип основного мероприятия </w:t>
            </w:r>
            <w:hyperlink w:anchor="P515">
              <w:r>
                <w:rPr>
                  <w:rStyle w:val="ListLabel9"/>
                </w:rPr>
                <w:t>&lt;6&gt;</w:t>
              </w:r>
            </w:hyperlink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604DE">
        <w:trPr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Цель 1 Программы. Создание благоприятных и безопасных условий проживания в округе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1. «Благоустройство Петровского городского округа»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>пункты 1-2 приложения № 5 к Программе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Задача 1 Подпрограммы 1. Приведение в качественное состояние элементов благоустройства округа и улучшение санитарно-эпидемиологического состояния территории округа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Уборка и поддержание в надлежащем санитарном состоянии территории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3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Озеленение территории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4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прочих мероприятий по благоустройству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управление по делам территорий,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МКУ «ПКБО»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5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МКУ «ПКБО»,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пункты 6-7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8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хозяйства, управление по делам территорий, жители округа (по согласованию)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9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eastAsia="ru-RU"/>
              </w:rPr>
              <w:t xml:space="preserve">Цель 2 Программы. </w:t>
            </w:r>
            <w:r>
              <w:rPr>
                <w:rFonts w:eastAsia="Times New Roman"/>
                <w:b/>
                <w:sz w:val="22"/>
                <w:lang w:eastAsia="ru-RU"/>
              </w:rPr>
              <w:t>Развитие систем коммунальной инфраструктуры</w:t>
            </w:r>
            <w:r>
              <w:rPr>
                <w:b/>
                <w:sz w:val="22"/>
              </w:rPr>
              <w:t xml:space="preserve"> и 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2. «Развитие систем коммунальной инфраструктуры, энергосбережение и повышение энергетической эффективности»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10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2. Реализация мероприятий в области энергосбережения и комплексного развития коммунальной инфраструктуры</w:t>
            </w:r>
          </w:p>
        </w:tc>
      </w:tr>
      <w:tr w:rsidR="00D604DE">
        <w:trPr>
          <w:trHeight w:val="146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11 приложения № 5 к Программе </w:t>
            </w:r>
          </w:p>
        </w:tc>
      </w:tr>
      <w:tr w:rsidR="00D604DE">
        <w:trPr>
          <w:trHeight w:val="141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хозяйства, управление по делам территорий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пункты 12-14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проекта «Школа грамотного потребителя»</w:t>
            </w:r>
          </w:p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</w:t>
            </w:r>
            <w:r>
              <w:rPr>
                <w:sz w:val="22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15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14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Цель 3 Программы. </w:t>
            </w:r>
            <w:r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D604DE">
        <w:trPr>
          <w:jc w:val="center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>
              <w:rPr>
                <w:b/>
                <w:sz w:val="22"/>
              </w:rPr>
              <w:t>Капитальный ремонт общего имущества в многоквартирных домах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16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14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Задача 1 Подпрограммы 3. </w:t>
            </w:r>
            <w:r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общего имущества в многоквартирных домах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хозяйства,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жители МКД (по согласованию)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17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18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МКУ «ПКБО»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19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IV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4. 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Реализация подпрограммы позволит достигнуть значений всех индикаторов достижения целей программы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МКУ «ПКБО»,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Реализация основного мероприятия подпрограммы позволит достигнуть значений всех индикаторов достижения целей программы</w:t>
            </w:r>
          </w:p>
        </w:tc>
      </w:tr>
    </w:tbl>
    <w:p w:rsidR="00D604DE" w:rsidRDefault="00D604DE">
      <w:pPr>
        <w:sectPr w:rsidR="00D604DE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D604DE" w:rsidRDefault="00D2173D">
      <w:pPr>
        <w:widowControl w:val="0"/>
        <w:spacing w:after="0" w:line="240" w:lineRule="exact"/>
        <w:ind w:left="1020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D604DE" w:rsidRDefault="00D2173D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–коммунального хозяйства»</w:t>
      </w:r>
    </w:p>
    <w:p w:rsidR="00D604DE" w:rsidRDefault="00D604DE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Ind w:w="113" w:type="dxa"/>
        <w:tblLook w:val="04A0" w:firstRow="1" w:lastRow="0" w:firstColumn="1" w:lastColumn="0" w:noHBand="0" w:noVBand="1"/>
      </w:tblPr>
      <w:tblGrid>
        <w:gridCol w:w="562"/>
        <w:gridCol w:w="2834"/>
        <w:gridCol w:w="3261"/>
        <w:gridCol w:w="1273"/>
        <w:gridCol w:w="1276"/>
        <w:gridCol w:w="1275"/>
        <w:gridCol w:w="1275"/>
        <w:gridCol w:w="1274"/>
        <w:gridCol w:w="1282"/>
      </w:tblGrid>
      <w:tr w:rsidR="00D604DE" w:rsidTr="00CC389A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9" w:name="RANGE!A1%253AI348"/>
            <w:bookmarkEnd w:id="9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Объемы финансового обеспечения по годам (тыс. рублей)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604DE" w:rsidTr="00CC389A">
        <w:trPr>
          <w:trHeight w:val="98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D604D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Программа «Развитие жилищно-коммунального хозяйства»,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113 754,74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 w:rsidP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963F8E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3F8E">
              <w:rPr>
                <w:rFonts w:ascii="Times New Roman" w:hAnsi="Times New Roman"/>
                <w:sz w:val="21"/>
                <w:szCs w:val="21"/>
              </w:rPr>
              <w:t>191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963F8E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 w:rsidP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963F8E">
              <w:rPr>
                <w:rFonts w:ascii="Times New Roman" w:hAnsi="Times New Roman"/>
                <w:sz w:val="21"/>
                <w:szCs w:val="21"/>
              </w:rPr>
              <w:t>8 335,65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D604D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97 605,22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37 338,81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53 521,17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6 545,24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</w:tr>
      <w:tr w:rsidR="00D604D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CC389A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«Благоустройство Петровского городского округа»,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14 944,70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14 944,70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14 944,70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13 964,56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3D06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Уборка </w:t>
            </w:r>
            <w:r w:rsidR="003D060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поддержание в надлежащем санитарном состоянии</w:t>
            </w:r>
            <w:r w:rsidR="003D060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территории округа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Озеленение территории округа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Обеспечение прочих мероприятий по благоустройству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0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0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35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«Развитие систем коммунальной инфраструктуры, энергосбережение и повышение энергетической эффективности»,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18 515,87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18 515,87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18 515,87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12 750,77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5 765,10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0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18 215,87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18 215,87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18 215,87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12 450,77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5 765,10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Реализация проекта «Школа грамотного потребителя»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63F8E" w:rsidTr="00CC389A">
        <w:trPr>
          <w:trHeight w:val="7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«Капитальный ремонт общего имущества в многоквартирных домах»,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16 812,43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35 518,70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Капитальный ремонт общего имущества в многоквартирных домах 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Капитальный ремонт муниципального жилищного фонда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35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24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53 521,17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Обеспечение реализации Программы 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53 521,17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D604DE" w:rsidRDefault="00D604DE">
      <w:pPr>
        <w:sectPr w:rsidR="00D604DE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D604DE" w:rsidRDefault="00D2173D">
      <w:pPr>
        <w:widowControl w:val="0"/>
        <w:spacing w:after="0" w:line="240" w:lineRule="exact"/>
        <w:ind w:left="9356"/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D604DE" w:rsidRDefault="00D2173D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DE" w:rsidRDefault="00D217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604DE" w:rsidRDefault="00D217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 Программы, отражающих значимость (вес)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Программы в достижении стратегических целей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Петровского городского округа Ставропольского края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другими целями Программы, влияющими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достижение тех же стратегических целей социально-экономического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Петровского городского округа Ставропольского края, и задачи подпрограммы Программы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достижении цели Программы в сравнении с другими задачами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подпрограммы Программы в достижении той же цели Программы</w:t>
      </w:r>
    </w:p>
    <w:p w:rsidR="00D604DE" w:rsidRDefault="00D604D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tbl>
      <w:tblPr>
        <w:tblW w:w="14317" w:type="dxa"/>
        <w:tblInd w:w="132" w:type="dxa"/>
        <w:tblLook w:val="04A0" w:firstRow="1" w:lastRow="0" w:firstColumn="1" w:lastColumn="0" w:noHBand="0" w:noVBand="1"/>
      </w:tblPr>
      <w:tblGrid>
        <w:gridCol w:w="960"/>
        <w:gridCol w:w="5381"/>
        <w:gridCol w:w="1173"/>
        <w:gridCol w:w="1134"/>
        <w:gridCol w:w="1132"/>
        <w:gridCol w:w="1134"/>
        <w:gridCol w:w="1134"/>
        <w:gridCol w:w="1134"/>
        <w:gridCol w:w="1135"/>
      </w:tblGrid>
      <w:tr w:rsidR="00D604DE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7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604DE">
        <w:trPr>
          <w:trHeight w:val="3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D604DE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1: «Создание благоприятных и безопасных условий проживания в округе»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2: «Развитие систем коммунальной инфраструктуры и повышение энергетической эффективности использования топливно-энергетических ресурсов на территории округа»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3 «Создание комфортных и безопасных условий проживания в многоквартирных домах»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604DE">
        <w:trPr>
          <w:trHeight w:val="960"/>
        </w:trPr>
        <w:tc>
          <w:tcPr>
            <w:tcW w:w="14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«Благоустройство территории Петровского городского округа»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1: «Приведение в качественное состояние элементов благоустройства округа и улучшение санитарно-эпидемиологического состояния территории округа»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04DE">
        <w:trPr>
          <w:trHeight w:val="960"/>
        </w:trPr>
        <w:tc>
          <w:tcPr>
            <w:tcW w:w="14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2. «Развитие систем коммунальной инфраструктуры, энергосбережение и повышение энергетической эффективности» 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 Подпрограммы 2: «Реализация мероприятий в области энергосбережения и комплексного развития коммунальной инфраструктуры»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04DE">
        <w:trPr>
          <w:trHeight w:val="902"/>
        </w:trPr>
        <w:tc>
          <w:tcPr>
            <w:tcW w:w="14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3. «Капитальный ремонт общего имущества в многоквартирных домах» </w:t>
            </w:r>
          </w:p>
        </w:tc>
      </w:tr>
      <w:tr w:rsidR="00D604DE">
        <w:trPr>
          <w:trHeight w:val="1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3: «Эффективное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604DE" w:rsidRDefault="00D604DE">
      <w:pPr>
        <w:sectPr w:rsidR="00D604DE">
          <w:pgSz w:w="16838" w:h="11906" w:orient="landscape"/>
          <w:pgMar w:top="1418" w:right="536" w:bottom="1134" w:left="1843" w:header="0" w:footer="0" w:gutter="0"/>
          <w:cols w:space="720"/>
          <w:formProt w:val="0"/>
          <w:docGrid w:linePitch="360"/>
        </w:sectPr>
      </w:pPr>
    </w:p>
    <w:p w:rsidR="00D604DE" w:rsidRDefault="00D604DE">
      <w:pPr>
        <w:widowControl w:val="0"/>
        <w:spacing w:after="0" w:line="240" w:lineRule="exact"/>
        <w:jc w:val="center"/>
        <w:outlineLvl w:val="1"/>
      </w:pPr>
    </w:p>
    <w:sectPr w:rsidR="00D604DE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E"/>
    <w:rsid w:val="0020157A"/>
    <w:rsid w:val="003C6EC3"/>
    <w:rsid w:val="003D060B"/>
    <w:rsid w:val="003D283B"/>
    <w:rsid w:val="00584FFF"/>
    <w:rsid w:val="005A6AE0"/>
    <w:rsid w:val="005F5800"/>
    <w:rsid w:val="006F1F25"/>
    <w:rsid w:val="00774E71"/>
    <w:rsid w:val="00963F8E"/>
    <w:rsid w:val="009B6034"/>
    <w:rsid w:val="00AE5CD2"/>
    <w:rsid w:val="00CC389A"/>
    <w:rsid w:val="00D2173D"/>
    <w:rsid w:val="00D604DE"/>
    <w:rsid w:val="00E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5093-B7BD-48BE-8B4B-541BB326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link w:val="20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link w:val="30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0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basedOn w:val="a0"/>
    <w:uiPriority w:val="99"/>
    <w:semiHidden/>
    <w:unhideWhenUsed/>
    <w:rsid w:val="00AB492C"/>
    <w:rPr>
      <w:color w:val="0563C1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61">
    <w:name w:val="Основной текст (6)_"/>
    <w:basedOn w:val="a0"/>
    <w:link w:val="61"/>
    <w:qFormat/>
    <w:rsid w:val="00A92CF9"/>
    <w:rPr>
      <w:rFonts w:ascii="Arial" w:eastAsia="Arial" w:hAnsi="Arial" w:cs="Arial"/>
      <w:shd w:val="clear" w:color="auto" w:fill="FFFFFF"/>
    </w:rPr>
  </w:style>
  <w:style w:type="character" w:customStyle="1" w:styleId="6Exact">
    <w:name w:val="Основной текст (6) Exact"/>
    <w:basedOn w:val="a0"/>
    <w:qFormat/>
    <w:rsid w:val="00A92C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62">
    <w:name w:val="Основной текст (6)"/>
    <w:basedOn w:val="a"/>
    <w:qFormat/>
    <w:rsid w:val="00A92CF9"/>
    <w:pPr>
      <w:widowControl w:val="0"/>
      <w:shd w:val="clear" w:color="auto" w:fill="FFFFFF"/>
      <w:spacing w:after="120" w:line="22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table" w:styleId="aff4">
    <w:name w:val="Table Grid"/>
    <w:basedOn w:val="a1"/>
    <w:rsid w:val="00996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BE5E-7E4D-4FE2-9AD9-4067A1FF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49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dc:description/>
  <cp:lastModifiedBy>Любовь Николаевна</cp:lastModifiedBy>
  <cp:revision>20</cp:revision>
  <cp:lastPrinted>2020-10-05T05:58:00Z</cp:lastPrinted>
  <dcterms:created xsi:type="dcterms:W3CDTF">2020-08-21T14:34:00Z</dcterms:created>
  <dcterms:modified xsi:type="dcterms:W3CDTF">2020-10-09T14:09:00Z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