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F0" w:rsidRPr="00693C17" w:rsidRDefault="008711F0" w:rsidP="00797C4A">
      <w:pPr>
        <w:tabs>
          <w:tab w:val="center" w:pos="4678"/>
          <w:tab w:val="left" w:pos="7626"/>
          <w:tab w:val="left" w:pos="7889"/>
          <w:tab w:val="left" w:pos="7939"/>
        </w:tabs>
        <w:ind w:right="-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93C17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8711F0" w:rsidRPr="00693C17" w:rsidRDefault="008711F0" w:rsidP="00CC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C17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8711F0" w:rsidRDefault="008711F0" w:rsidP="00CC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C17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8711F0" w:rsidRPr="00693C17" w:rsidRDefault="008711F0" w:rsidP="00CC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063"/>
        <w:gridCol w:w="3171"/>
        <w:gridCol w:w="3122"/>
      </w:tblGrid>
      <w:tr w:rsidR="008711F0" w:rsidRPr="00693C17">
        <w:tc>
          <w:tcPr>
            <w:tcW w:w="3063" w:type="dxa"/>
          </w:tcPr>
          <w:p w:rsidR="008711F0" w:rsidRPr="00693C17" w:rsidRDefault="008711F0" w:rsidP="00EF7D48">
            <w:pPr>
              <w:ind w:left="-108" w:right="-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8711F0" w:rsidRPr="00693C17" w:rsidRDefault="008711F0" w:rsidP="00EF7D48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C17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8711F0" w:rsidRPr="00693C17" w:rsidRDefault="008711F0" w:rsidP="00EF7D48">
            <w:pPr>
              <w:ind w:right="-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711F0" w:rsidRPr="00C63613" w:rsidRDefault="008711F0" w:rsidP="00CB77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CB7741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bookmarkStart w:id="0" w:name="_Hlk495415611"/>
      <w:r w:rsidRPr="00C63613">
        <w:rPr>
          <w:rFonts w:ascii="Times New Roman" w:hAnsi="Times New Roman" w:cs="Times New Roman"/>
          <w:b w:val="0"/>
          <w:bCs w:val="0"/>
          <w:sz w:val="28"/>
          <w:szCs w:val="28"/>
        </w:rPr>
        <w:t>Порядка оценки налоговых расходов Петровского городского округа Ставропольского края</w:t>
      </w:r>
      <w:bookmarkEnd w:id="0"/>
    </w:p>
    <w:p w:rsidR="008711F0" w:rsidRDefault="008711F0" w:rsidP="00CB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CB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CB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174.3 Бюджетного кодекса Российской Федерации и 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3613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22 июня 2019 г. № 796 «Об общих требованиях к оценке налоговых расходов субъектов Российской Федерации и муниципальных образований» администрация Петровского городского округа Ставропольского края </w:t>
      </w:r>
    </w:p>
    <w:p w:rsidR="008711F0" w:rsidRPr="00C63613" w:rsidRDefault="008711F0" w:rsidP="00CB7741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1F0" w:rsidRPr="00C63613" w:rsidRDefault="008711F0" w:rsidP="00CB7741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1F0" w:rsidRPr="00C63613" w:rsidRDefault="008711F0" w:rsidP="00CB77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613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8711F0" w:rsidRPr="00C63613" w:rsidRDefault="008711F0" w:rsidP="00CB7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CB7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1623B6">
      <w:pPr>
        <w:pStyle w:val="ConsPlusNormal"/>
        <w:numPr>
          <w:ilvl w:val="0"/>
          <w:numId w:val="1"/>
        </w:numPr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Pr="00C636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3613">
        <w:rPr>
          <w:rFonts w:ascii="Times New Roman" w:hAnsi="Times New Roman" w:cs="Times New Roman"/>
          <w:sz w:val="28"/>
          <w:szCs w:val="28"/>
        </w:rPr>
        <w:t xml:space="preserve"> оценки налоговых расходов Петровского городского округа</w:t>
      </w:r>
      <w:r w:rsidRPr="00C636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613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711F0" w:rsidRPr="00C63613" w:rsidRDefault="008711F0" w:rsidP="001623B6">
      <w:pPr>
        <w:pStyle w:val="ConsPlusNormal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D35A12" w:rsidRDefault="008711F0" w:rsidP="00AA2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12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</w:t>
      </w:r>
    </w:p>
    <w:p w:rsidR="008711F0" w:rsidRPr="00D35A12" w:rsidRDefault="008711F0" w:rsidP="00AA2F2F">
      <w:pPr>
        <w:pStyle w:val="ConsPlusNormal"/>
        <w:ind w:left="1710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D35A12" w:rsidRDefault="008711F0" w:rsidP="00AA2F2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D35A1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1F0" w:rsidRDefault="008711F0" w:rsidP="00CC03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C0341" w:rsidRDefault="008711F0" w:rsidP="00CC03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C0341" w:rsidRDefault="008711F0" w:rsidP="00797C4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797C4A" w:rsidRDefault="008711F0" w:rsidP="00797C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C4A">
        <w:rPr>
          <w:rFonts w:ascii="Times New Roman" w:hAnsi="Times New Roman" w:cs="Times New Roman"/>
          <w:sz w:val="28"/>
          <w:szCs w:val="28"/>
          <w:lang w:eastAsia="ru-RU"/>
        </w:rPr>
        <w:t xml:space="preserve">Глава Петровского </w:t>
      </w:r>
    </w:p>
    <w:p w:rsidR="008711F0" w:rsidRPr="00797C4A" w:rsidRDefault="008711F0" w:rsidP="00797C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C4A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8711F0" w:rsidRPr="00797C4A" w:rsidRDefault="008711F0" w:rsidP="00797C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C4A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797C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C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C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C4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C4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4A">
        <w:rPr>
          <w:rFonts w:ascii="Times New Roman" w:hAnsi="Times New Roman" w:cs="Times New Roman"/>
          <w:sz w:val="28"/>
          <w:szCs w:val="28"/>
          <w:lang w:eastAsia="ru-RU"/>
        </w:rPr>
        <w:t xml:space="preserve">     А.А.Захарченко</w:t>
      </w:r>
    </w:p>
    <w:p w:rsidR="008711F0" w:rsidRPr="00CC0341" w:rsidRDefault="008711F0" w:rsidP="00797C4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5465" w:rsidRDefault="00E15465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797C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BF5349">
      <w:pPr>
        <w:pStyle w:val="ConsPlusNormal"/>
        <w:spacing w:line="240" w:lineRule="exac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711F0" w:rsidRDefault="008711F0" w:rsidP="00BF5349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361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711F0" w:rsidRPr="00C63613" w:rsidRDefault="008711F0" w:rsidP="00BF5349">
      <w:pPr>
        <w:pStyle w:val="ConsPlusNormal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8711F0" w:rsidRDefault="008711F0" w:rsidP="00A3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A3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A3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1623B6" w:rsidRDefault="008711F0" w:rsidP="00CC034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P37"/>
      <w:bookmarkEnd w:id="2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1623B6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711F0" w:rsidRDefault="008711F0" w:rsidP="00CC034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623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оценки налоговых расходов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Петровского городского округа </w:t>
      </w:r>
    </w:p>
    <w:p w:rsidR="008711F0" w:rsidRPr="001623B6" w:rsidRDefault="008711F0" w:rsidP="00CC034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1623B6">
        <w:rPr>
          <w:rFonts w:ascii="Times New Roman" w:hAnsi="Times New Roman" w:cs="Times New Roman"/>
          <w:b w:val="0"/>
          <w:bCs w:val="0"/>
          <w:sz w:val="28"/>
          <w:szCs w:val="28"/>
        </w:rPr>
        <w:t>тавропольского края</w:t>
      </w:r>
    </w:p>
    <w:p w:rsidR="008711F0" w:rsidRDefault="008711F0" w:rsidP="00FF4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FF4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1. Насто</w:t>
      </w:r>
      <w:bookmarkStart w:id="3" w:name="_GoBack"/>
      <w:bookmarkEnd w:id="3"/>
      <w:r w:rsidRPr="00C63613">
        <w:rPr>
          <w:rFonts w:ascii="Times New Roman" w:hAnsi="Times New Roman" w:cs="Times New Roman"/>
          <w:sz w:val="28"/>
          <w:szCs w:val="28"/>
        </w:rPr>
        <w:t xml:space="preserve">ящий Порядок определяет процедуру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правила формирования информации о нормативных, целевых и фискальных характеристиках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C63613">
        <w:rPr>
          <w:rFonts w:ascii="Times New Roman" w:hAnsi="Times New Roman" w:cs="Times New Roman"/>
          <w:sz w:val="28"/>
          <w:szCs w:val="28"/>
        </w:rPr>
        <w:t xml:space="preserve">Ставропольского края, а также порядок обобщения результатов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осуществляемой кураторами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выпадающие доходы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обусловленные налоговыми льготами, освобождениями и иными преференциями по налогам и сборам, предусмотренными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в качестве мер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C63613">
        <w:rPr>
          <w:rFonts w:ascii="Times New Roman" w:hAnsi="Times New Roman" w:cs="Times New Roman"/>
          <w:sz w:val="28"/>
          <w:szCs w:val="28"/>
        </w:rPr>
        <w:t xml:space="preserve">Ставропольского края,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куратор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63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органы администрации</w:t>
      </w:r>
      <w:r w:rsidRPr="00C63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3613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за достижение соответствующих налоговым расходам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целей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сведения о положениях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плательщики - плательщики налогов;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комплекс мероприятий по оценке объемов налоговых расходов</w:t>
      </w:r>
      <w:r w:rsidRPr="00A1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определение объемов выпадающих доходов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обусловленных льготами, предоставленными плательщикам;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целями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о кураторах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формируемый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обусловленных необходимостью обеспечения социальной защиты (поддержки) населения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0D36BD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6BD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Петровского городского округа Ставропольского края - целевая категория налоговых расходов Петровского городского округа Ставропольского края, предполагающих стимулирование экономической активности субъектов предпринимательской деятельности и </w:t>
      </w:r>
      <w:r w:rsidRPr="000D36BD">
        <w:rPr>
          <w:rFonts w:ascii="Times New Roman" w:hAnsi="Times New Roman" w:cs="Times New Roman"/>
          <w:sz w:val="28"/>
          <w:szCs w:val="28"/>
        </w:rPr>
        <w:lastRenderedPageBreak/>
        <w:t>последующее увеличение доходов бюджета Петровского городского округа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711F0" w:rsidRPr="00AB353C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3C">
        <w:rPr>
          <w:rFonts w:ascii="Times New Roman" w:hAnsi="Times New Roman" w:cs="Times New Roman"/>
          <w:sz w:val="28"/>
          <w:szCs w:val="28"/>
        </w:rPr>
        <w:t xml:space="preserve">3. Оценка налоговых расходов Петровского городского округа  Ставропольского края осуществляется кураторами налоговых расходов Петровского городского округа Ставропольского края в соответствии с перечнем налоговых расходов Петровского городского округа Ставропольского края </w:t>
      </w:r>
      <w:r w:rsidRPr="00574244">
        <w:rPr>
          <w:rFonts w:ascii="Times New Roman" w:hAnsi="Times New Roman" w:cs="Times New Roman"/>
          <w:sz w:val="28"/>
          <w:szCs w:val="28"/>
        </w:rPr>
        <w:t>на основе информации Управления Федеральной налоговой службы по Ставропольскому краю о фискальных характеристиках налоговых расходов Петровского городского округа Ставропольского края за отчетный финансовый год,</w:t>
      </w:r>
      <w:r w:rsidRPr="00AB353C">
        <w:rPr>
          <w:rFonts w:ascii="Times New Roman" w:hAnsi="Times New Roman" w:cs="Times New Roman"/>
          <w:sz w:val="28"/>
          <w:szCs w:val="28"/>
        </w:rPr>
        <w:t xml:space="preserve"> а также информации о стимулирующих налоговых расходах Петровского городского округа Ставропольского края за 6 лет, предшествующих отчетному финансовому году.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39">
        <w:rPr>
          <w:rFonts w:ascii="Times New Roman" w:hAnsi="Times New Roman" w:cs="Times New Roman"/>
          <w:sz w:val="28"/>
          <w:szCs w:val="28"/>
        </w:rPr>
        <w:t xml:space="preserve">4. В целях проведения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</w:t>
      </w:r>
      <w:r w:rsidRPr="00641439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края: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39">
        <w:rPr>
          <w:rFonts w:ascii="Times New Roman" w:hAnsi="Times New Roman" w:cs="Times New Roman"/>
          <w:sz w:val="28"/>
          <w:szCs w:val="28"/>
        </w:rPr>
        <w:t xml:space="preserve">1)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уполномоченный орган) до 01 февраля текущего финансового года направляет в Межрайонную инспекцию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439">
        <w:rPr>
          <w:rFonts w:ascii="Times New Roman" w:hAnsi="Times New Roman" w:cs="Times New Roman"/>
          <w:sz w:val="28"/>
          <w:szCs w:val="28"/>
        </w:rPr>
        <w:t xml:space="preserve"> по Ставропольскому краю сведения о категориях плательщиков с указанием обусловливающих соответствующие налоговые расходы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том числе действовавших в отчетном финансовом году и в году, предшествующем отчетному финансовому году, и иную информацию, предусмотренную приложением к общим </w:t>
      </w:r>
      <w:r w:rsidRPr="00BF5349">
        <w:rPr>
          <w:rFonts w:ascii="Times New Roman" w:hAnsi="Times New Roman" w:cs="Times New Roman"/>
          <w:sz w:val="28"/>
          <w:szCs w:val="28"/>
        </w:rPr>
        <w:t>требованиям</w:t>
      </w:r>
      <w:r w:rsidRPr="00641439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439">
        <w:rPr>
          <w:rFonts w:ascii="Times New Roman" w:hAnsi="Times New Roman" w:cs="Times New Roman"/>
          <w:sz w:val="28"/>
          <w:szCs w:val="28"/>
        </w:rPr>
        <w:t xml:space="preserve"> 796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439">
        <w:rPr>
          <w:rFonts w:ascii="Times New Roman" w:hAnsi="Times New Roman" w:cs="Times New Roman"/>
          <w:sz w:val="28"/>
          <w:szCs w:val="28"/>
        </w:rPr>
        <w:t xml:space="preserve">Об общих требованиях к оценке налоговых расходов </w:t>
      </w:r>
      <w:r w:rsidRPr="00641439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439">
        <w:rPr>
          <w:rFonts w:ascii="Times New Roman" w:hAnsi="Times New Roman" w:cs="Times New Roman"/>
          <w:sz w:val="28"/>
          <w:szCs w:val="28"/>
        </w:rPr>
        <w:t xml:space="preserve"> (далее - общие требования к оценке налоговых расходов);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641439">
        <w:rPr>
          <w:rFonts w:ascii="Times New Roman" w:hAnsi="Times New Roman" w:cs="Times New Roman"/>
          <w:sz w:val="28"/>
          <w:szCs w:val="28"/>
        </w:rPr>
        <w:t xml:space="preserve">2) Межрайонная инспекции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41439">
        <w:rPr>
          <w:rFonts w:ascii="Times New Roman" w:hAnsi="Times New Roman" w:cs="Times New Roman"/>
          <w:sz w:val="28"/>
          <w:szCs w:val="28"/>
        </w:rPr>
        <w:t>по Ставропольскому краю до 01 апреля текущего финансового года направляет в уполномоченный орган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года, содержащие: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39">
        <w:rPr>
          <w:rFonts w:ascii="Times New Roman" w:hAnsi="Times New Roman" w:cs="Times New Roman"/>
          <w:sz w:val="28"/>
          <w:szCs w:val="28"/>
        </w:rPr>
        <w:t>информацию о количестве плательщиков, воспользовавшихся льготами;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39">
        <w:rPr>
          <w:rFonts w:ascii="Times New Roman" w:hAnsi="Times New Roman" w:cs="Times New Roman"/>
          <w:sz w:val="28"/>
          <w:szCs w:val="28"/>
        </w:rPr>
        <w:t xml:space="preserve">информацию о суммах выпадающих доходов бюджета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каждому налоговому расходу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39">
        <w:rPr>
          <w:rFonts w:ascii="Times New Roman" w:hAnsi="Times New Roman" w:cs="Times New Roman"/>
          <w:sz w:val="28"/>
          <w:szCs w:val="28"/>
        </w:rPr>
        <w:t xml:space="preserve">информацию об объемах налогов, задекларированных для уплаты плательщиками в бюджет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каждому налоговому расходу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в отношении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39">
        <w:rPr>
          <w:rFonts w:ascii="Times New Roman" w:hAnsi="Times New Roman" w:cs="Times New Roman"/>
          <w:sz w:val="28"/>
          <w:szCs w:val="28"/>
        </w:rPr>
        <w:t xml:space="preserve">3) уполномоченный орган до 01 июня текущего финансового года представляет в министерство финансов Ставропольского края данные для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предусмотренные приложением к общим требованиям к оценке налоговых расходов;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39">
        <w:rPr>
          <w:rFonts w:ascii="Times New Roman" w:hAnsi="Times New Roman" w:cs="Times New Roman"/>
          <w:sz w:val="28"/>
          <w:szCs w:val="28"/>
        </w:rPr>
        <w:t xml:space="preserve">4) уполномоченный орган до 15 апреля текущего финансового года направляет кураторам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сведения, указанные в </w:t>
      </w:r>
      <w:r w:rsidRPr="00FF441A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44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43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"/>
      <w:bookmarkEnd w:id="5"/>
      <w:r w:rsidRPr="00641439">
        <w:rPr>
          <w:rFonts w:ascii="Times New Roman" w:hAnsi="Times New Roman" w:cs="Times New Roman"/>
          <w:sz w:val="28"/>
          <w:szCs w:val="28"/>
        </w:rPr>
        <w:t xml:space="preserve">5) Межрайонная инспекции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439">
        <w:rPr>
          <w:rFonts w:ascii="Times New Roman" w:hAnsi="Times New Roman" w:cs="Times New Roman"/>
          <w:sz w:val="28"/>
          <w:szCs w:val="28"/>
        </w:rPr>
        <w:t xml:space="preserve"> по Ставропольскому краю до 15 июля текущего финансового года направляет в уполномоченный орган сведения об объеме льгот за отчетный финансовый год, а также по стимулирующим налоговым расходам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- сведения о налогах, задекларированных для уплаты плательщиками, имеющими право на льготы, в отчетном финансовом году;</w:t>
      </w:r>
    </w:p>
    <w:p w:rsidR="008711F0" w:rsidRPr="00641439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39">
        <w:rPr>
          <w:rFonts w:ascii="Times New Roman" w:hAnsi="Times New Roman" w:cs="Times New Roman"/>
          <w:sz w:val="28"/>
          <w:szCs w:val="28"/>
        </w:rPr>
        <w:t xml:space="preserve">6) уполномоченный орган до 20 июля текущего финансового года направляет кураторам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64143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сведения, указанные в </w:t>
      </w:r>
      <w:r w:rsidRPr="00FF441A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44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43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5. Оценка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осуществляется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включает в себя: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1) оценку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2) оценку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6. Критериями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являются: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целям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C63613">
        <w:rPr>
          <w:rFonts w:ascii="Times New Roman" w:hAnsi="Times New Roman" w:cs="Times New Roman"/>
          <w:sz w:val="28"/>
          <w:szCs w:val="28"/>
        </w:rPr>
        <w:t xml:space="preserve">7. В случае несоответствия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хотя бы одному из критериев, указанных в </w:t>
      </w:r>
      <w:hyperlink w:anchor="P73" w:history="1">
        <w:r w:rsidRPr="00C6361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C63613">
        <w:rPr>
          <w:rFonts w:ascii="Times New Roman" w:hAnsi="Times New Roman" w:cs="Times New Roman"/>
          <w:sz w:val="28"/>
          <w:szCs w:val="28"/>
        </w:rPr>
        <w:t xml:space="preserve"> настоящего Порядка, куратор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представляет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8. В качестве критерия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используется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целей социально-экономической политики </w:t>
      </w:r>
      <w:r w:rsidRPr="000D36B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C63613">
        <w:rPr>
          <w:rFonts w:ascii="Times New Roman" w:hAnsi="Times New Roman" w:cs="Times New Roman"/>
          <w:sz w:val="28"/>
          <w:szCs w:val="28"/>
        </w:rPr>
        <w:t xml:space="preserve">Ставропольского края,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63613"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либо иной показатель (индикатор), на значение которого оказывают влияние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9. Оценка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включает в себя оценку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10. В целях оценки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кураторами налоговых </w:t>
      </w:r>
      <w:r w:rsidRPr="00C63613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сравнительный анализ), а также оценка совокупного бюджетного эффекта (самоокупаемости) стимулирующих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11. Сравнительный анализ включает в себя сравнение объемов расходов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в случае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361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и объемов предоставленных льгот посредством определения куратором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прироста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6BD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на 1 рубль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на 1 рубль расходов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для достижения того же значения показателя (индикатора) в случае применения альтернативных механизмов.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учитываются: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3613">
        <w:rPr>
          <w:rFonts w:ascii="Times New Roman" w:hAnsi="Times New Roman" w:cs="Times New Roman"/>
          <w:sz w:val="28"/>
          <w:szCs w:val="28"/>
        </w:rPr>
        <w:t xml:space="preserve"> гарантий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по обязательствам плательщиков, имеющих право на льготы;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12. В целях оценки бюджетной эффективности стимулирующих </w:t>
      </w:r>
      <w:r w:rsidRPr="00C63613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одновременно со сравнительным анализом куратором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определяется оценка совокупного бюджетного эффекта (самоокупаемости) указанных налоговых расходов в соответствии с </w:t>
      </w:r>
      <w:hyperlink w:anchor="P85" w:history="1">
        <w:r w:rsidRPr="00C63613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C63613">
        <w:rPr>
          <w:rFonts w:ascii="Times New Roman" w:hAnsi="Times New Roman" w:cs="Times New Roman"/>
          <w:sz w:val="28"/>
          <w:szCs w:val="28"/>
        </w:rPr>
        <w:t xml:space="preserve"> настоящего Порядка. Значение оценки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является одним из критериев результативности налоговых расходов </w:t>
      </w:r>
      <w:r w:rsidRPr="000D36B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C63613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определяется куратором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отдельно по каждому налоговому расходу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определяется в целом по указанной категории плательщиков.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C63613">
        <w:rPr>
          <w:rFonts w:ascii="Times New Roman" w:hAnsi="Times New Roman" w:cs="Times New Roman"/>
          <w:sz w:val="28"/>
          <w:szCs w:val="28"/>
        </w:rPr>
        <w:t xml:space="preserve">13.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p w:rsidR="008711F0" w:rsidRPr="002969D7" w:rsidRDefault="008711F0" w:rsidP="00FF441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034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6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  B</w:t>
      </w:r>
      <w:r w:rsidRPr="002969D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oj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69D7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(1+g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711F0" w:rsidRPr="002969D7" w:rsidRDefault="00576319" w:rsidP="002969D7">
      <w:pPr>
        <w:pStyle w:val="ConsPlusNormal"/>
        <w:tabs>
          <w:tab w:val="center" w:pos="4947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19">
        <w:rPr>
          <w:noProof/>
        </w:rPr>
        <w:pict>
          <v:line id="_x0000_s1026" style="position:absolute;left:0;text-align:left;z-index:251658240" from="135pt,13.1pt" to="243pt,13.1pt"/>
        </w:pict>
      </w:r>
      <w:r w:rsidR="008711F0" w:rsidRPr="00C63613">
        <w:rPr>
          <w:rFonts w:ascii="Times New Roman" w:hAnsi="Times New Roman" w:cs="Times New Roman"/>
          <w:sz w:val="28"/>
          <w:szCs w:val="28"/>
        </w:rPr>
        <w:t>Е</w:t>
      </w:r>
      <w:r w:rsidR="008711F0" w:rsidRPr="002969D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576319">
        <w:rPr>
          <w:rFonts w:ascii="Times New Roman" w:hAnsi="Times New Roman" w:cs="Times New Roman"/>
          <w:noProof/>
          <w:position w:val="-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3629_152149_32769" style="width:9.15pt;height:19.55pt;visibility:visible">
            <v:imagedata r:id="rId5" o:title=""/>
          </v:shape>
        </w:pict>
      </w:r>
      <w:r w:rsidR="008711F0" w:rsidRPr="00296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1F0" w:rsidRPr="002969D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 w:rsidR="008711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i=1 </w:t>
      </w:r>
      <w:r w:rsidRPr="00576319">
        <w:rPr>
          <w:rFonts w:ascii="Times New Roman" w:hAnsi="Times New Roman" w:cs="Times New Roman"/>
          <w:noProof/>
          <w:position w:val="-10"/>
          <w:sz w:val="28"/>
          <w:szCs w:val="28"/>
        </w:rPr>
        <w:pict>
          <v:shape id="_x0000_i1026" type="#_x0000_t75" alt="base_23629_152149_32769" style="width:9.15pt;height:19.55pt;visibility:visible">
            <v:imagedata r:id="rId5" o:title=""/>
          </v:shape>
        </w:pict>
      </w:r>
      <w:r w:rsidR="008711F0" w:rsidRPr="002969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11F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mi </w:t>
      </w:r>
      <w:r w:rsidR="008711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j=1 </w:t>
      </w:r>
      <w:r w:rsidR="008711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="008711F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711F0" w:rsidRPr="002969D7">
        <w:rPr>
          <w:rFonts w:ascii="Times New Roman" w:hAnsi="Times New Roman" w:cs="Times New Roman"/>
          <w:sz w:val="28"/>
          <w:szCs w:val="28"/>
          <w:lang w:val="en-US"/>
        </w:rPr>
        <w:t xml:space="preserve">      , </w:t>
      </w:r>
      <w:r w:rsidR="008711F0">
        <w:rPr>
          <w:rFonts w:ascii="Times New Roman" w:hAnsi="Times New Roman" w:cs="Times New Roman"/>
          <w:sz w:val="28"/>
          <w:szCs w:val="28"/>
        </w:rPr>
        <w:t>где</w:t>
      </w:r>
    </w:p>
    <w:p w:rsidR="008711F0" w:rsidRPr="00CC0341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Pr="00CC0341">
        <w:rPr>
          <w:rFonts w:ascii="Times New Roman" w:hAnsi="Times New Roman" w:cs="Times New Roman"/>
          <w:sz w:val="28"/>
          <w:szCs w:val="28"/>
        </w:rPr>
        <w:t>(1+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03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</w:p>
    <w:p w:rsidR="008711F0" w:rsidRPr="00CC0341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Е -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576319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319">
        <w:rPr>
          <w:rFonts w:ascii="Times New Roman" w:hAnsi="Times New Roman" w:cs="Times New Roman"/>
          <w:noProof/>
          <w:position w:val="-10"/>
          <w:sz w:val="28"/>
          <w:szCs w:val="28"/>
        </w:rPr>
        <w:pict>
          <v:shape id="_x0000_i1027" type="#_x0000_t75" alt="base_23629_152149_32769" style="width:21.95pt;height:19.55pt;visibility:visible">
            <v:imagedata r:id="rId5" o:title=""/>
          </v:shape>
        </w:pict>
      </w:r>
      <w:r w:rsidR="008711F0" w:rsidRPr="00C63613">
        <w:rPr>
          <w:rFonts w:ascii="Times New Roman" w:hAnsi="Times New Roman" w:cs="Times New Roman"/>
          <w:sz w:val="28"/>
          <w:szCs w:val="28"/>
        </w:rPr>
        <w:t xml:space="preserve"> - знак суммирования;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i - порядковый номер i-го года, имеющий значение от 1 до 5;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m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3613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3613">
        <w:rPr>
          <w:rFonts w:ascii="Times New Roman" w:hAnsi="Times New Roman" w:cs="Times New Roman"/>
          <w:sz w:val="28"/>
          <w:szCs w:val="28"/>
        </w:rPr>
        <w:t>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N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C63613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3613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j-м плательщиком в i-м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13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Pr="000D36B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13">
        <w:rPr>
          <w:rFonts w:ascii="Times New Roman" w:hAnsi="Times New Roman" w:cs="Times New Roman"/>
          <w:sz w:val="28"/>
          <w:szCs w:val="28"/>
        </w:rPr>
        <w:t xml:space="preserve">Ставропольского края для плательщиков, имеющих право на льготы, льготы действуют менее 6 лет, объемы налогов, подлежащих уплате в бюджет </w:t>
      </w:r>
      <w:r w:rsidRPr="000D36B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C63613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края, оцениваются (прогнозируются) по данным куратора налоговых расходов </w:t>
      </w:r>
      <w:r w:rsidRPr="000D36B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C63613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B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r w:rsidRPr="00C63613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j-м плательщиком в базовом году;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g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C63613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года, рассчитываемый Министерством финансов Российской Федерации в соответствии с </w:t>
      </w:r>
      <w:hyperlink r:id="rId6" w:history="1">
        <w:r w:rsidRPr="00C6361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636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г. N 796 "Об общих требованиях к оценке налоговых расходов субъектов Российской Федерации и муниципальных образований";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14. Базовый объем налогов,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j-м плательщиком в базовом году, рассчитывается по следующей формуле:</w:t>
      </w:r>
    </w:p>
    <w:p w:rsidR="008711F0" w:rsidRPr="00C63613" w:rsidRDefault="008711F0" w:rsidP="00FF4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FF441A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1A">
        <w:rPr>
          <w:rFonts w:ascii="Times New Roman" w:hAnsi="Times New Roman" w:cs="Times New Roman"/>
          <w:sz w:val="28"/>
          <w:szCs w:val="28"/>
        </w:rPr>
        <w:t>B</w:t>
      </w:r>
      <w:r w:rsidRPr="00FF441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FF441A">
        <w:rPr>
          <w:rFonts w:ascii="Times New Roman" w:hAnsi="Times New Roman" w:cs="Times New Roman"/>
          <w:sz w:val="28"/>
          <w:szCs w:val="28"/>
        </w:rPr>
        <w:t xml:space="preserve"> = N</w:t>
      </w:r>
      <w:r w:rsidRPr="00FF441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FF441A">
        <w:rPr>
          <w:rFonts w:ascii="Times New Roman" w:hAnsi="Times New Roman" w:cs="Times New Roman"/>
          <w:sz w:val="28"/>
          <w:szCs w:val="28"/>
        </w:rPr>
        <w:t xml:space="preserve"> + L</w:t>
      </w:r>
      <w:r w:rsidRPr="00FF441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FF441A">
        <w:rPr>
          <w:rFonts w:ascii="Times New Roman" w:hAnsi="Times New Roman" w:cs="Times New Roman"/>
          <w:sz w:val="28"/>
          <w:szCs w:val="28"/>
        </w:rPr>
        <w:t>, где</w:t>
      </w:r>
    </w:p>
    <w:p w:rsidR="008711F0" w:rsidRPr="00C63613" w:rsidRDefault="008711F0" w:rsidP="00FF4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B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63613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j-м плательщиком в базовом году;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N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63613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j-м плательщиком в базовом году;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L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63613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15. Расчетная стоимость среднесрочных рыночных заимствований</w:t>
      </w:r>
      <w:r w:rsidRPr="00F13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рассчитывается по следующей формуле:</w:t>
      </w:r>
    </w:p>
    <w:p w:rsidR="008711F0" w:rsidRPr="00C63613" w:rsidRDefault="008711F0" w:rsidP="00FF4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r = i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C63613">
        <w:rPr>
          <w:rFonts w:ascii="Times New Roman" w:hAnsi="Times New Roman" w:cs="Times New Roman"/>
          <w:sz w:val="28"/>
          <w:szCs w:val="28"/>
        </w:rPr>
        <w:t xml:space="preserve"> + p + c, где</w:t>
      </w:r>
    </w:p>
    <w:p w:rsidR="008711F0" w:rsidRPr="00C63613" w:rsidRDefault="008711F0" w:rsidP="00FF4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i</w:t>
      </w:r>
      <w:r w:rsidRPr="00C63613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C63613">
        <w:rPr>
          <w:rFonts w:ascii="Times New Roman" w:hAnsi="Times New Roman" w:cs="Times New Roman"/>
          <w:sz w:val="28"/>
          <w:szCs w:val="28"/>
        </w:rPr>
        <w:t xml:space="preserve"> - целевой уровень инфляции (4,0 процента);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c - кредитная премия за риск, рассчитываемая для целей настоящего Порядка в зависимости от отношения объема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63613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по состоянию на 01 </w:t>
      </w:r>
      <w:r w:rsidRPr="00C63613">
        <w:rPr>
          <w:rFonts w:ascii="Times New Roman" w:hAnsi="Times New Roman" w:cs="Times New Roman"/>
          <w:sz w:val="28"/>
          <w:szCs w:val="28"/>
        </w:rPr>
        <w:lastRenderedPageBreak/>
        <w:t xml:space="preserve">января текущего финансового года к объему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за отчетный период (в случае если указанное отношение составляет менее 50,0 процента, кредитная премия за риск принимается равной 1,0 процента; в случае если указанное отношение составляет от 50,0 до 100,0 процента, кредитная премия за риск принимается равной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8711F0" w:rsidRPr="00C63613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16. По итогам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куратор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формирует </w:t>
      </w:r>
      <w:r w:rsidRPr="00384A8E">
        <w:rPr>
          <w:rFonts w:ascii="Times New Roman" w:hAnsi="Times New Roman" w:cs="Times New Roman"/>
          <w:sz w:val="28"/>
          <w:szCs w:val="28"/>
        </w:rPr>
        <w:t>и до 20 июля</w:t>
      </w:r>
      <w:r w:rsidRPr="00C63613">
        <w:rPr>
          <w:rFonts w:ascii="Times New Roman" w:hAnsi="Times New Roman" w:cs="Times New Roman"/>
          <w:sz w:val="28"/>
          <w:szCs w:val="28"/>
        </w:rPr>
        <w:t xml:space="preserve"> текущего финансового года представляет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63613">
        <w:rPr>
          <w:rFonts w:ascii="Times New Roman" w:hAnsi="Times New Roman" w:cs="Times New Roman"/>
          <w:sz w:val="28"/>
          <w:szCs w:val="28"/>
        </w:rPr>
        <w:t xml:space="preserve"> информацию о достижении целевых характеристик налогового расхода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вкладе налогового расхода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о наличии или об отсутствии более результативных (менее затратных для 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края)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и (или) целей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711F0" w:rsidRDefault="008711F0" w:rsidP="00FF4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13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63613">
        <w:rPr>
          <w:rFonts w:ascii="Times New Roman" w:hAnsi="Times New Roman" w:cs="Times New Roman"/>
          <w:sz w:val="28"/>
          <w:szCs w:val="28"/>
        </w:rPr>
        <w:t xml:space="preserve"> </w:t>
      </w:r>
      <w:r w:rsidRPr="00C20AE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01 августа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текущего финансового года формирует оценку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отчетный финансовый год </w:t>
      </w:r>
      <w:r w:rsidRPr="00C63613">
        <w:rPr>
          <w:rFonts w:ascii="Times New Roman" w:hAnsi="Times New Roman" w:cs="Times New Roman"/>
          <w:sz w:val="28"/>
          <w:szCs w:val="28"/>
        </w:rPr>
        <w:t xml:space="preserve">на основе данных, представленных кураторами налоговых расходов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3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F0" w:rsidRDefault="008711F0" w:rsidP="00FF44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результатам оценки эффективности налоговых расходов Петровского городского округа уполномоченный орган вносит на рассмотрение главы Петровского городского округа предложения о подготовке изменений в муниципальные правовые акты в части отмены неэффективных налоговых расходов Петровского городского округа.</w:t>
      </w:r>
    </w:p>
    <w:p w:rsidR="008711F0" w:rsidRDefault="008711F0" w:rsidP="00FF44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63613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налоговых расходов </w:t>
      </w:r>
      <w:r w:rsidRPr="000D36B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613">
        <w:rPr>
          <w:rFonts w:ascii="Times New Roman" w:hAnsi="Times New Roman" w:cs="Times New Roman"/>
          <w:sz w:val="28"/>
          <w:szCs w:val="28"/>
        </w:rPr>
        <w:t>Ставропольского края учитываются при формировании основных направлений бюджетно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3613">
        <w:rPr>
          <w:rFonts w:ascii="Times New Roman" w:hAnsi="Times New Roman" w:cs="Times New Roman"/>
          <w:sz w:val="28"/>
          <w:szCs w:val="28"/>
        </w:rPr>
        <w:t xml:space="preserve"> и налоговой политики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при проведении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6361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C63613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8711F0" w:rsidRDefault="008711F0" w:rsidP="00FF4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Уполномоченный орган размещает результаты оценки эффективности налоговых расходов Петровского городского округа Ставропольского края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711F0" w:rsidRDefault="008711F0" w:rsidP="00CC03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CC03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Default="008711F0" w:rsidP="00CC03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FF441A" w:rsidRDefault="008711F0" w:rsidP="00CC034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11F0" w:rsidRPr="00FF441A" w:rsidRDefault="008711F0" w:rsidP="00CC0341">
      <w:pPr>
        <w:spacing w:after="0"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F441A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711F0" w:rsidRPr="00FF441A" w:rsidRDefault="008711F0" w:rsidP="00CC0341">
      <w:pPr>
        <w:spacing w:after="0"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F441A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8711F0" w:rsidRPr="00FF441A" w:rsidRDefault="008711F0" w:rsidP="00CC0341">
      <w:pPr>
        <w:spacing w:after="0"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F441A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8711F0" w:rsidRPr="00CC0341" w:rsidRDefault="008711F0" w:rsidP="00CC0341">
      <w:pPr>
        <w:spacing w:after="0"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 w:rsidRPr="00FF441A">
        <w:rPr>
          <w:rFonts w:ascii="Times New Roman" w:hAnsi="Times New Roman" w:cs="Times New Roman"/>
          <w:sz w:val="28"/>
          <w:szCs w:val="28"/>
        </w:rPr>
        <w:t>Ю.В.Петрич</w:t>
      </w:r>
    </w:p>
    <w:sectPr w:rsidR="008711F0" w:rsidRPr="00CC0341" w:rsidSect="00797C4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5FD"/>
    <w:multiLevelType w:val="hybridMultilevel"/>
    <w:tmpl w:val="44469BBC"/>
    <w:lvl w:ilvl="0" w:tplc="DD7ECB50">
      <w:start w:val="1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741"/>
    <w:rsid w:val="000242E4"/>
    <w:rsid w:val="00047C39"/>
    <w:rsid w:val="000955B5"/>
    <w:rsid w:val="000D36BD"/>
    <w:rsid w:val="000E6F59"/>
    <w:rsid w:val="000F3BB6"/>
    <w:rsid w:val="0013648F"/>
    <w:rsid w:val="001623B6"/>
    <w:rsid w:val="00172833"/>
    <w:rsid w:val="00187CE8"/>
    <w:rsid w:val="001E054F"/>
    <w:rsid w:val="002969D7"/>
    <w:rsid w:val="002A249B"/>
    <w:rsid w:val="00343067"/>
    <w:rsid w:val="00384A8E"/>
    <w:rsid w:val="003D7963"/>
    <w:rsid w:val="00451708"/>
    <w:rsid w:val="00494FAC"/>
    <w:rsid w:val="00511199"/>
    <w:rsid w:val="00531E8E"/>
    <w:rsid w:val="00574244"/>
    <w:rsid w:val="00576319"/>
    <w:rsid w:val="00585FAB"/>
    <w:rsid w:val="005F25BE"/>
    <w:rsid w:val="00640E97"/>
    <w:rsid w:val="00641439"/>
    <w:rsid w:val="00652B43"/>
    <w:rsid w:val="00693C17"/>
    <w:rsid w:val="006E6FB3"/>
    <w:rsid w:val="00747683"/>
    <w:rsid w:val="0076411E"/>
    <w:rsid w:val="00787575"/>
    <w:rsid w:val="00797C4A"/>
    <w:rsid w:val="007F0634"/>
    <w:rsid w:val="00851FA4"/>
    <w:rsid w:val="008711F0"/>
    <w:rsid w:val="008F0FC9"/>
    <w:rsid w:val="0091352C"/>
    <w:rsid w:val="00935EA9"/>
    <w:rsid w:val="00960C15"/>
    <w:rsid w:val="00974E16"/>
    <w:rsid w:val="009F721A"/>
    <w:rsid w:val="00A008EE"/>
    <w:rsid w:val="00A122F1"/>
    <w:rsid w:val="00A35002"/>
    <w:rsid w:val="00A37361"/>
    <w:rsid w:val="00AA2F2F"/>
    <w:rsid w:val="00AB353C"/>
    <w:rsid w:val="00AE7C21"/>
    <w:rsid w:val="00B372D9"/>
    <w:rsid w:val="00B95E30"/>
    <w:rsid w:val="00BA1A6D"/>
    <w:rsid w:val="00BF5349"/>
    <w:rsid w:val="00C20AEE"/>
    <w:rsid w:val="00C63613"/>
    <w:rsid w:val="00CB7741"/>
    <w:rsid w:val="00CC0341"/>
    <w:rsid w:val="00D226FD"/>
    <w:rsid w:val="00D35A12"/>
    <w:rsid w:val="00D521DB"/>
    <w:rsid w:val="00D85819"/>
    <w:rsid w:val="00E15465"/>
    <w:rsid w:val="00E216CB"/>
    <w:rsid w:val="00E349AE"/>
    <w:rsid w:val="00EF7D48"/>
    <w:rsid w:val="00F03B80"/>
    <w:rsid w:val="00F134A2"/>
    <w:rsid w:val="00F52A64"/>
    <w:rsid w:val="00FF0C38"/>
    <w:rsid w:val="00F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41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774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B77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B774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1">
    <w:name w:val="Без интервала1"/>
    <w:uiPriority w:val="99"/>
    <w:rsid w:val="00CB7741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styleId="a3">
    <w:name w:val="Normal (Web)"/>
    <w:basedOn w:val="a"/>
    <w:uiPriority w:val="99"/>
    <w:semiHidden/>
    <w:rsid w:val="00CB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D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79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FCFA7B77763E899332FCE4607C5C340959C50A97C270C988E85F6DD4487F221D6579D4B24E9350DED92A6F8BpFmD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11</Pages>
  <Words>3709</Words>
  <Characters>21146</Characters>
  <Application>Microsoft Office Word</Application>
  <DocSecurity>0</DocSecurity>
  <Lines>176</Lines>
  <Paragraphs>49</Paragraphs>
  <ScaleCrop>false</ScaleCrop>
  <Company/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user</cp:lastModifiedBy>
  <cp:revision>23</cp:revision>
  <cp:lastPrinted>2020-12-03T07:11:00Z</cp:lastPrinted>
  <dcterms:created xsi:type="dcterms:W3CDTF">2019-11-13T07:48:00Z</dcterms:created>
  <dcterms:modified xsi:type="dcterms:W3CDTF">2020-12-07T10:31:00Z</dcterms:modified>
</cp:coreProperties>
</file>