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D563AD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9233AF"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58659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563AD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563AD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563AD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563AD" w:rsidRPr="00D563AD" w:rsidTr="00485BDE">
        <w:trPr>
          <w:trHeight w:val="208"/>
        </w:trPr>
        <w:tc>
          <w:tcPr>
            <w:tcW w:w="3063" w:type="dxa"/>
          </w:tcPr>
          <w:p w:rsidR="002925FD" w:rsidRPr="00D563AD" w:rsidRDefault="002925FD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925FD" w:rsidRPr="00D563AD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563AD" w:rsidRDefault="002925FD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925FD" w:rsidRPr="00D563AD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5FD" w:rsidRPr="00D563AD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</w:t>
      </w:r>
      <w:r w:rsidR="00D768E9" w:rsidRPr="00D563AD">
        <w:rPr>
          <w:rFonts w:ascii="Times New Roman" w:hAnsi="Times New Roman" w:cs="Times New Roman"/>
          <w:sz w:val="28"/>
          <w:szCs w:val="28"/>
        </w:rPr>
        <w:t>округа Ставропольского края от 13</w:t>
      </w:r>
      <w:r w:rsidRPr="00D563AD">
        <w:rPr>
          <w:rFonts w:ascii="Times New Roman" w:hAnsi="Times New Roman" w:cs="Times New Roman"/>
          <w:sz w:val="28"/>
          <w:szCs w:val="28"/>
        </w:rPr>
        <w:t xml:space="preserve"> </w:t>
      </w:r>
      <w:r w:rsidR="00D768E9" w:rsidRPr="00D563AD">
        <w:rPr>
          <w:rFonts w:ascii="Times New Roman" w:hAnsi="Times New Roman" w:cs="Times New Roman"/>
          <w:sz w:val="28"/>
          <w:szCs w:val="28"/>
        </w:rPr>
        <w:t>ноября</w:t>
      </w:r>
      <w:r w:rsidRPr="00D563AD">
        <w:rPr>
          <w:rFonts w:ascii="Times New Roman" w:hAnsi="Times New Roman" w:cs="Times New Roman"/>
          <w:sz w:val="28"/>
          <w:szCs w:val="28"/>
        </w:rPr>
        <w:t xml:space="preserve"> 20</w:t>
      </w:r>
      <w:r w:rsidR="00D768E9" w:rsidRPr="00D563AD">
        <w:rPr>
          <w:rFonts w:ascii="Times New Roman" w:hAnsi="Times New Roman" w:cs="Times New Roman"/>
          <w:sz w:val="28"/>
          <w:szCs w:val="28"/>
        </w:rPr>
        <w:t>20</w:t>
      </w:r>
      <w:r w:rsidRPr="00D563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68E9" w:rsidRPr="00D563AD">
        <w:rPr>
          <w:rFonts w:ascii="Times New Roman" w:hAnsi="Times New Roman" w:cs="Times New Roman"/>
          <w:sz w:val="28"/>
          <w:szCs w:val="28"/>
        </w:rPr>
        <w:t>1575</w:t>
      </w:r>
    </w:p>
    <w:p w:rsidR="001E7F9F" w:rsidRPr="00D563AD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3AD" w:rsidRPr="00D563AD" w:rsidRDefault="00D563A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63AD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proofErr w:type="gramEnd"/>
      <w:r w:rsidRPr="00D563AD">
        <w:rPr>
          <w:rFonts w:eastAsia="Calibri"/>
          <w:sz w:val="28"/>
          <w:lang w:eastAsia="en-US"/>
        </w:rPr>
        <w:t xml:space="preserve"> </w:t>
      </w:r>
      <w:r w:rsidR="00D563AD">
        <w:rPr>
          <w:rFonts w:eastAsia="Calibri"/>
          <w:sz w:val="28"/>
          <w:lang w:eastAsia="en-US"/>
        </w:rPr>
        <w:t xml:space="preserve">                        </w:t>
      </w:r>
      <w:proofErr w:type="gramStart"/>
      <w:r w:rsidRPr="00D563AD">
        <w:rPr>
          <w:rFonts w:eastAsia="Calibri"/>
          <w:sz w:val="28"/>
          <w:lang w:eastAsia="en-US"/>
        </w:rPr>
        <w:t xml:space="preserve">(в редакции от 30 августа 2018 года № 1547, от 11 января 2019 г. № 9, от </w:t>
      </w:r>
      <w:r w:rsidR="00D563AD">
        <w:rPr>
          <w:rFonts w:eastAsia="Calibri"/>
          <w:sz w:val="28"/>
          <w:lang w:eastAsia="en-US"/>
        </w:rPr>
        <w:t xml:space="preserve">                </w:t>
      </w:r>
      <w:r w:rsidRPr="00D563AD">
        <w:rPr>
          <w:rFonts w:eastAsia="Calibri"/>
          <w:sz w:val="28"/>
          <w:lang w:eastAsia="en-US"/>
        </w:rPr>
        <w:t>08 августа 2019 года № 1645</w:t>
      </w:r>
      <w:r w:rsidR="00DD5D9A" w:rsidRPr="00D563AD">
        <w:rPr>
          <w:rFonts w:eastAsia="Calibri"/>
          <w:sz w:val="28"/>
          <w:lang w:eastAsia="en-US"/>
        </w:rPr>
        <w:t>, от 06 июля 2020 года</w:t>
      </w:r>
      <w:r w:rsidR="0070620D" w:rsidRPr="00D563AD">
        <w:rPr>
          <w:rFonts w:eastAsia="Calibri"/>
          <w:sz w:val="28"/>
          <w:lang w:eastAsia="en-US"/>
        </w:rPr>
        <w:t xml:space="preserve"> № 867</w:t>
      </w:r>
      <w:r w:rsidRPr="00D563AD">
        <w:rPr>
          <w:rFonts w:eastAsia="Calibri"/>
          <w:sz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D563AD">
        <w:rPr>
          <w:rFonts w:eastAsia="Calibri"/>
          <w:sz w:val="28"/>
          <w:lang w:eastAsia="en-US"/>
        </w:rPr>
        <w:t xml:space="preserve">            </w:t>
      </w:r>
      <w:r w:rsidRPr="00D563AD">
        <w:rPr>
          <w:rFonts w:eastAsia="Calibri"/>
          <w:sz w:val="28"/>
          <w:lang w:eastAsia="en-US"/>
        </w:rPr>
        <w:t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</w:t>
      </w:r>
      <w:proofErr w:type="gramEnd"/>
      <w:r w:rsidRPr="00D563AD">
        <w:rPr>
          <w:rFonts w:eastAsia="Calibri"/>
          <w:sz w:val="28"/>
          <w:lang w:eastAsia="en-US"/>
        </w:rPr>
        <w:t xml:space="preserve"> </w:t>
      </w:r>
      <w:proofErr w:type="gramStart"/>
      <w:r w:rsidRPr="00D563AD">
        <w:rPr>
          <w:rFonts w:eastAsia="Calibri"/>
          <w:sz w:val="28"/>
          <w:lang w:eastAsia="en-US"/>
        </w:rPr>
        <w:t>года № 571-р, от 04 декабря 2018 года № 656-р, от 20 сентября 2019 года № 554-р</w:t>
      </w:r>
      <w:r w:rsidR="00DD5D9A" w:rsidRPr="00D563AD">
        <w:rPr>
          <w:rFonts w:eastAsia="Calibri"/>
          <w:sz w:val="28"/>
          <w:lang w:eastAsia="en-US"/>
        </w:rPr>
        <w:t xml:space="preserve">, от </w:t>
      </w:r>
      <w:r w:rsidR="00D563AD">
        <w:rPr>
          <w:rFonts w:eastAsia="Calibri"/>
          <w:sz w:val="28"/>
          <w:lang w:eastAsia="en-US"/>
        </w:rPr>
        <w:t xml:space="preserve">                </w:t>
      </w:r>
      <w:r w:rsidR="00DD5D9A" w:rsidRPr="00D563AD">
        <w:rPr>
          <w:rFonts w:eastAsia="Calibri"/>
          <w:sz w:val="28"/>
          <w:lang w:eastAsia="en-US"/>
        </w:rPr>
        <w:t>02 июля 2020 года № 370-р</w:t>
      </w:r>
      <w:r w:rsidRPr="00D563AD">
        <w:rPr>
          <w:rFonts w:eastAsia="Calibri"/>
          <w:sz w:val="28"/>
          <w:lang w:eastAsia="en-US"/>
        </w:rPr>
        <w:t>), решением Совета депутатов Петровского городского округа Ставропольского края от 1</w:t>
      </w:r>
      <w:r w:rsidR="00D768E9" w:rsidRPr="00D563AD">
        <w:rPr>
          <w:rFonts w:eastAsia="Calibri"/>
          <w:sz w:val="28"/>
          <w:lang w:eastAsia="en-US"/>
        </w:rPr>
        <w:t>0</w:t>
      </w:r>
      <w:r w:rsidRPr="00D563AD">
        <w:rPr>
          <w:rFonts w:eastAsia="Calibri"/>
          <w:sz w:val="28"/>
          <w:lang w:eastAsia="en-US"/>
        </w:rPr>
        <w:t xml:space="preserve"> </w:t>
      </w:r>
      <w:r w:rsidR="00D768E9" w:rsidRPr="00D563AD">
        <w:rPr>
          <w:rFonts w:eastAsia="Calibri"/>
          <w:sz w:val="28"/>
          <w:lang w:eastAsia="en-US"/>
        </w:rPr>
        <w:t>декабря 2020 года № 104</w:t>
      </w:r>
      <w:r w:rsidRPr="00D563AD">
        <w:rPr>
          <w:rFonts w:eastAsia="Calibri"/>
          <w:sz w:val="28"/>
          <w:lang w:eastAsia="en-US"/>
        </w:rPr>
        <w:t xml:space="preserve"> </w:t>
      </w:r>
      <w:r w:rsidR="00D563AD">
        <w:rPr>
          <w:rFonts w:eastAsia="Calibri"/>
          <w:sz w:val="28"/>
          <w:lang w:eastAsia="en-US"/>
        </w:rPr>
        <w:t xml:space="preserve">              </w:t>
      </w:r>
      <w:r w:rsidRPr="00D563AD">
        <w:rPr>
          <w:rFonts w:eastAsia="Calibri"/>
          <w:sz w:val="28"/>
          <w:lang w:eastAsia="en-US"/>
        </w:rPr>
        <w:t>«</w:t>
      </w:r>
      <w:r w:rsidR="00D768E9" w:rsidRPr="00D563AD">
        <w:rPr>
          <w:rFonts w:eastAsia="Calibri"/>
          <w:sz w:val="28"/>
          <w:lang w:eastAsia="en-US"/>
        </w:rPr>
        <w:t>О бюджете Петровского городского округа Ставропольского края на 2021 год и плановый период 2022 и 2023 годов</w:t>
      </w:r>
      <w:r w:rsidRPr="00D563AD">
        <w:rPr>
          <w:sz w:val="28"/>
          <w:szCs w:val="28"/>
        </w:rPr>
        <w:t xml:space="preserve">» </w:t>
      </w:r>
      <w:r w:rsidRPr="00D563AD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  <w:proofErr w:type="gramEnd"/>
    </w:p>
    <w:p w:rsidR="002925FD" w:rsidRPr="00D563AD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563AD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925FD" w:rsidRPr="00D563AD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563AD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63A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      </w:t>
      </w:r>
      <w:r w:rsidR="00340B98" w:rsidRPr="00D563AD">
        <w:rPr>
          <w:rFonts w:ascii="Times New Roman" w:hAnsi="Times New Roman" w:cs="Times New Roman"/>
          <w:sz w:val="28"/>
          <w:szCs w:val="28"/>
        </w:rPr>
        <w:t>13</w:t>
      </w:r>
      <w:r w:rsidRPr="00D563AD">
        <w:rPr>
          <w:rFonts w:ascii="Times New Roman" w:hAnsi="Times New Roman" w:cs="Times New Roman"/>
          <w:sz w:val="28"/>
          <w:szCs w:val="28"/>
        </w:rPr>
        <w:t xml:space="preserve"> </w:t>
      </w:r>
      <w:r w:rsidR="00340B98" w:rsidRPr="00D563AD">
        <w:rPr>
          <w:rFonts w:ascii="Times New Roman" w:hAnsi="Times New Roman" w:cs="Times New Roman"/>
          <w:sz w:val="28"/>
          <w:szCs w:val="28"/>
        </w:rPr>
        <w:t>ноября</w:t>
      </w:r>
      <w:r w:rsidRPr="00D563AD">
        <w:rPr>
          <w:rFonts w:ascii="Times New Roman" w:hAnsi="Times New Roman" w:cs="Times New Roman"/>
          <w:sz w:val="28"/>
          <w:szCs w:val="28"/>
        </w:rPr>
        <w:t xml:space="preserve"> 20</w:t>
      </w:r>
      <w:r w:rsidR="00340B98" w:rsidRPr="00D563AD">
        <w:rPr>
          <w:rFonts w:ascii="Times New Roman" w:hAnsi="Times New Roman" w:cs="Times New Roman"/>
          <w:sz w:val="28"/>
          <w:szCs w:val="28"/>
        </w:rPr>
        <w:t>20 г. № 1575</w:t>
      </w:r>
      <w:r w:rsidRPr="00D563AD">
        <w:rPr>
          <w:rFonts w:ascii="Times New Roman" w:hAnsi="Times New Roman" w:cs="Times New Roman"/>
          <w:sz w:val="28"/>
          <w:szCs w:val="28"/>
        </w:rPr>
        <w:t xml:space="preserve"> </w:t>
      </w:r>
      <w:r w:rsidRPr="00D563AD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D563AD">
        <w:rPr>
          <w:rFonts w:ascii="Times New Roman" w:hAnsi="Times New Roman" w:cs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казачества».</w:t>
      </w:r>
      <w:proofErr w:type="gramEnd"/>
    </w:p>
    <w:p w:rsidR="002925FD" w:rsidRPr="00D563AD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A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56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3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563AD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D563AD"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D563AD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563AD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1E7F9F" w:rsidRPr="00D563AD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D563AD">
        <w:rPr>
          <w:rFonts w:ascii="Times New Roman" w:hAnsi="Times New Roman" w:cs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D563AD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A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563AD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2925FD" w:rsidRPr="00D563A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86594" w:rsidRPr="00D563AD" w:rsidRDefault="00586594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563AD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563AD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563AD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563AD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27867" w:rsidRPr="00D563AD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563AD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563AD" w:rsidRDefault="00127867" w:rsidP="00C71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867" w:rsidRPr="00D563AD" w:rsidTr="00485BDE">
        <w:tc>
          <w:tcPr>
            <w:tcW w:w="4644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563AD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F9F" w:rsidRPr="00D563AD" w:rsidRDefault="001E7F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8B3" w:rsidRPr="00D563AD" w:rsidRDefault="009208B3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563AD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563AD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27867" w:rsidRPr="00D563AD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8B3" w:rsidRPr="00D563AD" w:rsidRDefault="008C6D83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7E1B1E" w:rsidRPr="00D563A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1B1E" w:rsidRPr="00D563AD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позицию </w:t>
      </w:r>
      <w:r w:rsidR="00A80DD9" w:rsidRPr="00D563AD">
        <w:rPr>
          <w:rFonts w:ascii="Times New Roman" w:eastAsia="Times New Roman" w:hAnsi="Times New Roman" w:cs="Times New Roman"/>
          <w:sz w:val="28"/>
          <w:szCs w:val="28"/>
        </w:rPr>
        <w:t xml:space="preserve">«Объемы и источники финансового обеспечения Программы» изложить в 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A80DD9" w:rsidRPr="00D563A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A80DD9" w:rsidRPr="00D563AD" w:rsidRDefault="00A80DD9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D563AD" w:rsidRPr="00D563AD" w:rsidTr="00802AA7">
        <w:trPr>
          <w:jc w:val="right"/>
        </w:trPr>
        <w:tc>
          <w:tcPr>
            <w:tcW w:w="2479" w:type="dxa"/>
            <w:shd w:val="clear" w:color="auto" w:fill="auto"/>
          </w:tcPr>
          <w:p w:rsidR="00A80DD9" w:rsidRPr="00D563AD" w:rsidRDefault="0053697B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A80DD9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  <w:p w:rsidR="00A80DD9" w:rsidRPr="00D563AD" w:rsidRDefault="00A80DD9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5D50E9" w:rsidRPr="00D563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78950,22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0DD9" w:rsidRPr="00D563AD" w:rsidRDefault="00A80DD9" w:rsidP="00802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85</w:t>
            </w:r>
            <w:r w:rsidR="005D50E9"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2,66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14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14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142,49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2025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142,49 тыс. рублей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</w:t>
            </w:r>
            <w:r w:rsidR="005D50E9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78097,56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г. – 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27482,37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="007E6FE6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9689,19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2023 г. – </w:t>
            </w:r>
            <w:r w:rsidR="007E6FE6"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9695,13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2024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2025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2026 г.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A80DD9" w:rsidRPr="00D563AD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2024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A80DD9" w:rsidRPr="00D563AD" w:rsidRDefault="00A80DD9" w:rsidP="00802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  <w:r w:rsidR="0053697B"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A80DD9" w:rsidRPr="00D563AD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8C6D83" w:rsidRPr="00D563AD" w:rsidRDefault="008C6D83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FE4" w:rsidRPr="00D563AD" w:rsidRDefault="001454A8" w:rsidP="009208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C1E" w:rsidRPr="00D563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134"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2C1E" w:rsidRPr="00D563AD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B22134" w:rsidRPr="00D56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2C1E" w:rsidRPr="00D563A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47FE4"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647FE4" w:rsidRPr="00D56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незаконного оборота наркотиков»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</w:t>
      </w:r>
      <w:r w:rsidR="0070620D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«Межнациональные отношения, профилактика правонарушений, терроризма и поддержка казачества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>» к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FE4"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53697B" w:rsidRPr="00D56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2134" w:rsidRPr="00D5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134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изложить в новой редакции согласно приложению 1 к настоящим изменениям.</w:t>
      </w:r>
    </w:p>
    <w:p w:rsidR="00FA1C16" w:rsidRPr="00D563AD" w:rsidRDefault="00FA1C16" w:rsidP="006E63F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72F52" w:rsidRPr="00D563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4 «Подпрограмма «Антитеррористическая защищенность и защита населения и территории от чрезвычайных ситуаций» </w:t>
      </w:r>
      <w:r w:rsidR="00BA0F78" w:rsidRPr="00D563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</w:t>
      </w:r>
      <w:r w:rsidR="0070620D" w:rsidRPr="00D563AD">
        <w:rPr>
          <w:rFonts w:ascii="Times New Roman" w:eastAsia="Times New Roman" w:hAnsi="Times New Roman" w:cs="Times New Roman"/>
          <w:sz w:val="28"/>
          <w:szCs w:val="28"/>
        </w:rPr>
        <w:t xml:space="preserve"> ««Межнациональные отношения, профилактика правонарушений, терроризма и поддержка казачества</w:t>
      </w:r>
      <w:r w:rsidR="00BA0F78" w:rsidRPr="00D563AD">
        <w:rPr>
          <w:rFonts w:ascii="Times New Roman" w:eastAsia="Times New Roman" w:hAnsi="Times New Roman" w:cs="Times New Roman"/>
          <w:sz w:val="28"/>
          <w:szCs w:val="28"/>
        </w:rPr>
        <w:t>» к Программе</w:t>
      </w:r>
      <w:r w:rsidR="00272F52" w:rsidRPr="00D56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52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изложить в новой редакции согласно   приложению 2 к настоящим изменениям.</w:t>
      </w:r>
    </w:p>
    <w:p w:rsidR="001321BE" w:rsidRPr="00D563AD" w:rsidRDefault="0016428E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«Сведения об индикаторах достижения целей муниципальной программы и показателях решения задач подпрограмм Программы и их значениях»</w:t>
      </w:r>
      <w:r w:rsidR="001321BE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Программе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излож</w:t>
      </w:r>
      <w:r w:rsid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ить в новой редакции согласно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приложению </w:t>
      </w:r>
      <w:r w:rsidR="00237A87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3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настоящим изменениям</w:t>
      </w:r>
      <w:r w:rsidR="001321BE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.</w:t>
      </w:r>
    </w:p>
    <w:p w:rsidR="009208B3" w:rsidRPr="00D563AD" w:rsidRDefault="00B61C65" w:rsidP="009208B3">
      <w:pPr>
        <w:pStyle w:val="a5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26B4" w:rsidRPr="00D563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321BE" w:rsidRPr="00D563AD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«Перечень основных мероприятий подпрограмм Программы»</w:t>
      </w:r>
      <w:r w:rsidR="00EB26B4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Программе изложить в новой </w:t>
      </w:r>
      <w:r w:rsidR="00237A87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редакции согласно   приложению 4</w:t>
      </w:r>
      <w:r w:rsidR="00EB26B4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к настоящим изменениям.</w:t>
      </w:r>
    </w:p>
    <w:p w:rsidR="001321BE" w:rsidRPr="00D563AD" w:rsidRDefault="00B61C65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08B3" w:rsidRPr="00D563AD">
        <w:rPr>
          <w:rFonts w:ascii="Times New Roman" w:eastAsia="Times New Roman" w:hAnsi="Times New Roman" w:cs="Times New Roman"/>
          <w:sz w:val="28"/>
          <w:szCs w:val="28"/>
        </w:rPr>
        <w:t>. Приложение 8 «Объемы и источники финансового обеспечения Программы» к Программе изложить в новой</w:t>
      </w:r>
      <w:r w:rsidR="00EB26B4" w:rsidRPr="00D563AD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 приложению</w:t>
      </w:r>
      <w:r w:rsidR="00237A87" w:rsidRPr="00D563A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B26B4" w:rsidRPr="00D563AD">
        <w:rPr>
          <w:rFonts w:ascii="Times New Roman" w:eastAsia="Times New Roman" w:hAnsi="Times New Roman" w:cs="Times New Roman"/>
          <w:sz w:val="28"/>
          <w:szCs w:val="28"/>
        </w:rPr>
        <w:t xml:space="preserve">  к настоящим изменениям.</w:t>
      </w:r>
    </w:p>
    <w:p w:rsidR="001321BE" w:rsidRPr="00D563AD" w:rsidRDefault="001321BE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BE" w:rsidRPr="00D563AD" w:rsidRDefault="001321BE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563AD" w:rsidRDefault="00FE08D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lang w:eastAsia="en-US"/>
        </w:rPr>
        <w:t>Управляющий делами</w:t>
      </w:r>
      <w:r w:rsidR="00127867" w:rsidRPr="00D563AD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</w:t>
      </w:r>
    </w:p>
    <w:p w:rsidR="00127867" w:rsidRPr="00D563AD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:rsidR="00127867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      </w:t>
      </w:r>
      <w:r w:rsidR="00FE08D0"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FE08D0"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    </w:t>
      </w:r>
      <w:r w:rsidRPr="00D563AD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FE08D0" w:rsidRPr="00D563AD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563AD" w:rsidRPr="00D563AD" w:rsidRDefault="00D563AD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lastRenderedPageBreak/>
              <w:t>Приложение 1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1A7999" w:rsidP="005369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«</w:t>
            </w:r>
            <w:r w:rsidR="006171E8"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«Профилактика правонарушений и незаконного оборота наркотиков» 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подпрограммы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по общественной безопасности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Соисполнители  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социального развития;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УТСЗН;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Участники подпрограммы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</w:t>
            </w:r>
            <w:proofErr w:type="gramStart"/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ГКУ «Центр занятости населения Петровского района»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ГБУЗ СК «Петровская районная больница» (по согласованию);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ГБУ СО «Петровский центр социального обслуживания» (по согласованию)</w:t>
            </w:r>
          </w:p>
          <w:p w:rsidR="006171E8" w:rsidRPr="00D563AD" w:rsidRDefault="006171E8" w:rsidP="0053697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создание и развитие межведомственной системы профилактики правонарушений и охраны общественного порядка;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</w:t>
            </w:r>
          </w:p>
          <w:p w:rsidR="006171E8" w:rsidRPr="00D563AD" w:rsidRDefault="006171E8" w:rsidP="00536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2021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годы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171E8" w:rsidRPr="00D563AD" w:rsidRDefault="006171E8" w:rsidP="00536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517359" w:rsidRPr="00D563AD" w:rsidRDefault="00517359" w:rsidP="005173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789,06 тыс. рублей, в том числе по источникам финансового обеспечения:</w:t>
            </w:r>
          </w:p>
          <w:p w:rsidR="00517359" w:rsidRPr="00D563AD" w:rsidRDefault="00517359" w:rsidP="00517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7359" w:rsidRPr="00D563AD" w:rsidRDefault="00517359" w:rsidP="00517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252,66 тыс. рублей, в том числе по годам: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41,73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41,73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41,73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42,49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42,49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42,49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7359" w:rsidRPr="00D563AD" w:rsidRDefault="00517359" w:rsidP="00517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536,40 тыс. рублей, в том числе по годам: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2024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2025 год – 89,40 тыс. рублей;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89,40 тыс. рублей</w:t>
            </w:r>
          </w:p>
          <w:p w:rsidR="00517359" w:rsidRPr="00D563AD" w:rsidRDefault="00517359" w:rsidP="00517359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517359" w:rsidRPr="00D563AD" w:rsidRDefault="00517359" w:rsidP="00517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7359" w:rsidRPr="00D563AD" w:rsidRDefault="00517359" w:rsidP="00517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517359" w:rsidRPr="00D563AD" w:rsidRDefault="00517359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17359" w:rsidRPr="00D563AD" w:rsidRDefault="00214FF7" w:rsidP="00517359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6171E8" w:rsidRPr="00D563AD" w:rsidRDefault="006171E8" w:rsidP="00536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доли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 к 2026 году составит 50 %;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 к 2026 году составит 108,42 %;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 к 2026 году составит 108,75 %;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ежегодное обеспечение реагирования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полномочий, составит 100 %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171E8" w:rsidRPr="00D563AD" w:rsidRDefault="006171E8" w:rsidP="0061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1) 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</w:t>
      </w:r>
      <w:r w:rsidR="00F5706E"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Петровского городского </w:t>
      </w: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округа</w:t>
      </w:r>
      <w:r w:rsidR="00F5706E"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 Ставропольского края</w:t>
      </w: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штаба народных дружин Петровского городского округа Ставропольского края;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обучения народных дружинников основам охраны общественного порядка, профилактики и пресечения правонарушений;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введение и реализация системы поощрения народных дружинников за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активное участие в охране общественного порядка;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проведения в средствах массовой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информации пропаганды положительного опыта работы народных дружин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по охране общественного порядка.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792F16" w:rsidRPr="00D563AD" w:rsidRDefault="00792F16" w:rsidP="00792F16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- увеличение привлеченных граждан к мероприятиям по охране общественного порядка составит 108,42% к 2026 году;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организация и совершенствование работы по привлечению населения округа к охране общественного порядка;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привлеченных граждан к мероприятиям по охране общественного порядка.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управление по делам территорий.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Участником данного основного мероприятия является ОМВД по Петровскому городскому округу (по согласованию).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2) 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проведение профилактической работы с лицами, осужденными к наказанию без изоляции от общества и лицами, освободившимися из мест лишения свободы в рамках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свободы;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информирование лиц, освободившихся из мест лишения свободы и лиц, осужденными к наказанию без изоляции от общества о возможностях и путях ресоциализации, трудоустройства, социальной адаптации;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оказание лицам, осужденными к наказанию без изоляции от общества и лицам, освободившимися из мест лишения свободы мер социальной поддержки в рамках полномочий установленных законодательством.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полномочий, в полном объеме;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</w:p>
    <w:p w:rsidR="00414E3B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правового информирования лиц, освободившихся из мест лишения свободы, а также лиц, осужденных к наказанию без изоляции от общества в целях предупреждения рецидивной преступности.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Ответственным исполнителем данного мероприятия является отдел по 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общественной безопасности.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мероприятия являются УТСЗН.</w:t>
      </w:r>
    </w:p>
    <w:p w:rsidR="00536AB4" w:rsidRPr="00D563AD" w:rsidRDefault="00536AB4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Участниками данного основного мероприятия являются ОМВД по Петровскому городскому округу (по согласованию), филиал по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ФКУ УИИ УФСИН (по согласованию), ГКУ «Центр занятости населения Петровского района» (по согласованию), ГБУЗ СК «Петровская районная больница», ГБУ СО «Петровский центр социального обслуживания» (по согласованию)</w:t>
      </w:r>
      <w:r w:rsidRPr="00D563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1E8" w:rsidRPr="00D563AD" w:rsidRDefault="006171E8" w:rsidP="00536A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3) Обеспечение взаимодействия субъектов профилактики правонарушений, в том числе правонарушений несовершеннолетних на территории округа. 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профилактике правонарушений на территории Петровского городского округа Ставропольского края, как координационного органа в сфере профилактики правонарушений (далее – комиссия по профилактике правонарушений);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административной комиссии Петровского городского округа Ставропольского края (далее – административная комиссия);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делам несовершеннолетних и защите их прав Петровского городского округа Ставропольского края (далее – комиссия по делам несовершеннолетних);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антинаркотической комиссии Петровского городского округа Ставропольского края;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мероприятий, направленных на профилактику правонарушений, в том числе правонарушений несовершеннолетних, с участием субъектов профилактики правонарушений (круглые столы, беседы, акции);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проведение социально-психологического тестирования на предмет выявления несовершеннолетних, входящих в «группу риска», а также проведение 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экспресс-тестирования</w:t>
      </w:r>
      <w:proofErr w:type="gram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на предмет выявления немедицинского потребления несовершеннолетними наркотических и психотропных веществ;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разработка и принятие муниципальных правовых актов в сфере профилактики правонарушений.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97534D" w:rsidRPr="00D563AD" w:rsidRDefault="0097534D" w:rsidP="0097534D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63A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удовлетворенность населения деятельностью органов муниципальной власти, способствующей обеспечению безопасности граждан, в общей численности опрошенных лиц к 2026 году составит 50%;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устойчивое развитие межведомственной системы профилактики правонарушений;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обеспечение реализации административного законодательства на территории округа.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Ответственным 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отдел социального развития, отдел образования.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Участниками данного основного мероприятия являются ОМВД по Петровскому городскому округ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</w:t>
      </w:r>
      <w:r w:rsidRPr="00D563A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D563AD">
        <w:rPr>
          <w:rFonts w:ascii="Times New Roman" w:eastAsia="Times New Roman" w:hAnsi="Times New Roman" w:cs="Times New Roman"/>
          <w:bCs/>
          <w:sz w:val="28"/>
          <w:szCs w:val="28"/>
        </w:rPr>
        <w:t>по согласованию)</w:t>
      </w: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, филиал по ПР ФКУ УИИ УФСИН</w:t>
      </w:r>
      <w:r w:rsidRPr="00D563AD">
        <w:rPr>
          <w:rFonts w:ascii="Times New Roman" w:eastAsia="Times New Roman" w:hAnsi="Times New Roman" w:cs="Times New Roman"/>
          <w:bCs/>
          <w:sz w:val="28"/>
          <w:szCs w:val="28"/>
        </w:rPr>
        <w:t>(по согласованию), ГКУ «Центр занятости населения Петровского района» (по согласованию).</w:t>
      </w:r>
    </w:p>
    <w:p w:rsidR="006171E8" w:rsidRPr="00D563AD" w:rsidRDefault="006171E8" w:rsidP="006171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4) </w:t>
      </w:r>
      <w:r w:rsidRPr="00D563AD">
        <w:rPr>
          <w:rFonts w:ascii="Times New Roman" w:eastAsia="Calibri" w:hAnsi="Times New Roman" w:cs="Times New Roman"/>
          <w:b/>
          <w:sz w:val="28"/>
          <w:szCs w:val="28"/>
        </w:rPr>
        <w:t>Информационно-пропагандистское обеспечение профилактики правонарушений.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D37FBE" w:rsidRPr="00D563AD" w:rsidRDefault="00D37FBE" w:rsidP="006171E8">
      <w:pPr>
        <w:widowControl w:val="0"/>
        <w:tabs>
          <w:tab w:val="left" w:pos="160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подготовка, публикация и распространение агитационных материалов, листовок, плакатов, направленных на: профилактику бытового насилия и правонарушений в 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повышение уровня правосознания и правовой культуры населения;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освещение результатов деятельности комиссии по профилактике правонарушений, межведомственной рабочей группы, административной комиссии, комиссии по делам несовершеннолетних в средствах массовой информации и на официальном сайте администрации;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создание, </w:t>
      </w:r>
      <w:proofErr w:type="spell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публикование</w:t>
      </w:r>
      <w:proofErr w:type="spellEnd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и размещение в социальных сетях материалов, направленных на профилактику правонарушений, незаконного потребления и оборота наркотиков, активизацию борьбы с алкоголизмом, пропаганду семейных ценностей и здорового образа жизни среди подростков и молодежи Петровского городского округа Ставропольского края.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D37FBE" w:rsidRPr="00D563AD" w:rsidRDefault="00D37FBE" w:rsidP="00D37FBE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63AD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агитационных материалов, направленных на профилактику правонарушений, в том числе антиалкогольную и антинаркотическую пропаганду, агитацию здорового образа жизни в двойном размере в сравнении с 2019 годом;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правосознания и правовой культуры населения;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формирование у подростков и молодежи мотивации к ведению здорового образа жизни, нетерпимого отношения к употреблению алкоголя и наркомании.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социального развития, отдел образования, отдел культуры, МЦ «Импульс».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.</w:t>
      </w:r>
      <w:r w:rsidR="001A7999" w:rsidRPr="00D563AD">
        <w:rPr>
          <w:rFonts w:ascii="Times New Roman" w:eastAsia="Lucida Sans Unicode" w:hAnsi="Times New Roman" w:cs="Times New Roman"/>
          <w:sz w:val="28"/>
          <w:szCs w:val="28"/>
          <w:lang w:eastAsia="en-US"/>
        </w:rPr>
        <w:t>».</w:t>
      </w:r>
      <w:proofErr w:type="gramEnd"/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BC38DD" w:rsidP="00BC38D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lastRenderedPageBreak/>
              <w:t>Приложение 2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BC38DD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38DD" w:rsidRPr="00D563AD" w:rsidRDefault="00BC38DD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1A7999" w:rsidP="0053697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«</w:t>
            </w:r>
            <w:r w:rsidR="00BC38DD"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Приложение 4</w:t>
            </w:r>
          </w:p>
        </w:tc>
      </w:tr>
      <w:tr w:rsidR="00D563AD" w:rsidRPr="00D563AD" w:rsidTr="0053697B">
        <w:tc>
          <w:tcPr>
            <w:tcW w:w="4111" w:type="dxa"/>
            <w:shd w:val="clear" w:color="auto" w:fill="auto"/>
          </w:tcPr>
          <w:p w:rsidR="00BC38DD" w:rsidRPr="00D563AD" w:rsidRDefault="00BC38DD" w:rsidP="0053697B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ПОДПРОГРАММА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171E8" w:rsidRPr="00D563AD" w:rsidRDefault="006171E8" w:rsidP="006171E8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rPr>
          <w:trHeight w:val="429"/>
        </w:trPr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отдел по общественной безопасности</w:t>
            </w: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AA00A6" w:rsidRPr="00D563AD" w:rsidRDefault="006171E8" w:rsidP="00AA0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аварийно-спасательное формирование;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образования 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171E8" w:rsidRPr="00D563AD" w:rsidRDefault="006171E8" w:rsidP="00AA00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- 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«112»;</w:t>
            </w:r>
          </w:p>
          <w:p w:rsidR="00237A87" w:rsidRPr="00D563AD" w:rsidRDefault="00237A87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563AD">
              <w:rPr>
                <w:rFonts w:ascii="Times New Roman" w:hAnsi="Times New Roman"/>
                <w:sz w:val="28"/>
                <w:szCs w:val="28"/>
              </w:rPr>
              <w:t>обеспечение безопасности в учреждениях образования муниципальной собственности;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ограждениями, в общем количестве муниципальных образовательных учреждений округа;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2021 – 2026 годы 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обеспечения подпрограммы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76593,60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0,00 </w:t>
            </w:r>
            <w:r w:rsidRPr="00D563A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2026 г. – 0,00 тыс. рублей</w:t>
            </w:r>
          </w:p>
          <w:p w:rsidR="00A513E0" w:rsidRPr="00D563AD" w:rsidRDefault="00A513E0" w:rsidP="00A513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3E0" w:rsidRPr="00D563AD" w:rsidRDefault="00A513E0" w:rsidP="00A5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76593,60 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27231,71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9438,53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9444,47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10159,63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A513E0" w:rsidRPr="00D563AD" w:rsidRDefault="00A513E0" w:rsidP="00A5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13E0" w:rsidRPr="00D563AD" w:rsidRDefault="00A513E0" w:rsidP="00A5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A513E0" w:rsidRPr="00D563AD" w:rsidRDefault="00A513E0" w:rsidP="00A513E0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6171E8" w:rsidRPr="00D563AD" w:rsidRDefault="006171E8" w:rsidP="0053697B">
            <w:pPr>
              <w:widowControl w:val="0"/>
              <w:spacing w:after="0" w:line="240" w:lineRule="auto"/>
              <w:ind w:firstLine="637"/>
              <w:jc w:val="both"/>
            </w:pPr>
          </w:p>
        </w:tc>
      </w:tr>
      <w:tr w:rsidR="00D563AD" w:rsidRPr="00D563AD" w:rsidTr="0053697B">
        <w:tc>
          <w:tcPr>
            <w:tcW w:w="4252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104" w:type="dxa"/>
            <w:shd w:val="clear" w:color="auto" w:fill="auto"/>
          </w:tcPr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«112»,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 100 %;</w:t>
            </w:r>
          </w:p>
          <w:p w:rsidR="00237A87" w:rsidRPr="00D563AD" w:rsidRDefault="00237A87" w:rsidP="0053697B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ежегодное обеспечение безопасности в учреждениях образования муниципальной собственности на уровне 100%;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увеличение доли </w:t>
            </w:r>
            <w:proofErr w:type="gramStart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ограждениями 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</w:t>
            </w:r>
            <w:proofErr w:type="gramEnd"/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100 %;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округе,</w:t>
            </w:r>
            <w:r w:rsidRPr="00D563AD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100 %</w:t>
            </w:r>
          </w:p>
          <w:p w:rsidR="006171E8" w:rsidRPr="00D563AD" w:rsidRDefault="006171E8" w:rsidP="0053697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</w:rPr>
        <w:t>1) Создание условий для внедрения АПК «Безопасный город».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планируется: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проведение заседаний межведомственной рабочей группы по во</w:t>
      </w:r>
      <w:r w:rsidR="00034B61">
        <w:rPr>
          <w:rFonts w:ascii="Times New Roman" w:eastAsia="Lucida Sans Unicode" w:hAnsi="Times New Roman" w:cs="Times New Roman"/>
          <w:sz w:val="28"/>
          <w:szCs w:val="28"/>
        </w:rPr>
        <w:t xml:space="preserve">просам построения, внедрения и </w:t>
      </w:r>
      <w:r w:rsidRPr="00D563AD">
        <w:rPr>
          <w:rFonts w:ascii="Times New Roman" w:eastAsia="Lucida Sans Unicode" w:hAnsi="Times New Roman" w:cs="Times New Roman"/>
          <w:sz w:val="28"/>
          <w:szCs w:val="28"/>
        </w:rPr>
        <w:t>развития аппаратно-программного комплекса «Безопасный город» на территории Петровского городского округа Ставропольского края;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обеспечение приема и обработки вызова экстренных оперативных служб по единому номеру «112» на территории округа.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создание условий для внедрения АПК «Безопасный город»;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поддержание реагирования диспетчерской службы на вызова (сообщения) о чрезвычайных ситуациях, происшествиях на уровне 100%.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аварийно спасательное формирование.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b/>
          <w:bCs/>
        </w:rPr>
      </w:pPr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>2) Повышение уровня безопасности населения округа и защищенности критически важных объектов от террористических угроз.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обеспечение охраны муниципальных объектов охранными предприятиями;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обеспечение антитеррористической защищенностью муниципальных объектов.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lastRenderedPageBreak/>
        <w:t>Соисполнителем данного мероприятия является отдел по общественной безопасности.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b/>
          <w:bCs/>
        </w:rPr>
      </w:pPr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3) Обустройство образовательных организаций целостными </w:t>
      </w:r>
      <w:proofErr w:type="spellStart"/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>периметральными</w:t>
      </w:r>
      <w:proofErr w:type="spellEnd"/>
      <w:r w:rsidRPr="00D563A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ограждениями.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данного основного мероприятия Подпрограммы осуществляется обустройство образовательных организаций целостными </w:t>
      </w:r>
      <w:proofErr w:type="spellStart"/>
      <w:r w:rsidRPr="00D563AD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ограждениями.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образовательных организаций, обустроенных целостными </w:t>
      </w:r>
      <w:proofErr w:type="spellStart"/>
      <w:r w:rsidRPr="00D563AD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 на уровне 100% к 2026 году.</w:t>
      </w:r>
    </w:p>
    <w:p w:rsidR="00CA43D6" w:rsidRPr="00D563AD" w:rsidRDefault="00CA43D6" w:rsidP="00CA43D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CA43D6" w:rsidRPr="00D563AD" w:rsidRDefault="00CA43D6" w:rsidP="00CA43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AD">
        <w:rPr>
          <w:rFonts w:ascii="Times New Roman" w:eastAsia="Times New Roman" w:hAnsi="Times New Roman" w:cs="Times New Roman"/>
          <w:sz w:val="28"/>
          <w:szCs w:val="28"/>
        </w:rPr>
        <w:t>Соисполнителем данного мероприятия является отдел по общественной безопасности.</w:t>
      </w:r>
    </w:p>
    <w:p w:rsidR="006171E8" w:rsidRPr="00D563AD" w:rsidRDefault="006171E8" w:rsidP="00CA43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b/>
          <w:sz w:val="28"/>
          <w:szCs w:val="28"/>
        </w:rPr>
        <w:t>4) Предупреждение и ликвидация чрезвычайных ситуаций и стихийных бедствий.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обеспечение деятельности (оказание услуг) поисковых и аварийно-спасательных учреждений;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повышение уровня профессиональной подготовки дежурно-диспетчерского персонала аварийно-спасательного формирования (системы «112» округа);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- минимизация последствий чрезвычайных ситуаций и стихийных бедствий природного и техногенного характера.</w:t>
      </w:r>
    </w:p>
    <w:p w:rsidR="00742440" w:rsidRPr="00D563AD" w:rsidRDefault="006171E8" w:rsidP="007424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</w:t>
      </w:r>
      <w:r w:rsidR="00742440"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 отдел по общественной безопасности. </w:t>
      </w:r>
    </w:p>
    <w:p w:rsidR="00742440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 xml:space="preserve">Соисполнителем данного мероприятия является </w:t>
      </w:r>
      <w:r w:rsidR="00742440" w:rsidRPr="00D563AD">
        <w:rPr>
          <w:rFonts w:ascii="Times New Roman" w:eastAsia="Lucida Sans Unicode" w:hAnsi="Times New Roman" w:cs="Times New Roman"/>
          <w:sz w:val="28"/>
          <w:szCs w:val="28"/>
        </w:rPr>
        <w:t>аварийно-спасательное формирование.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Участники данных мероприятий не предусмотрены.</w:t>
      </w:r>
    </w:p>
    <w:p w:rsidR="006171E8" w:rsidRPr="00D563AD" w:rsidRDefault="006171E8" w:rsidP="006171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563AD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7 к Программе</w:t>
      </w:r>
      <w:proofErr w:type="gramStart"/>
      <w:r w:rsidRPr="00D563AD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1A7999" w:rsidRPr="00D563AD">
        <w:rPr>
          <w:rFonts w:ascii="Times New Roman" w:eastAsia="Lucida Sans Unicode" w:hAnsi="Times New Roman" w:cs="Times New Roman"/>
          <w:sz w:val="28"/>
          <w:szCs w:val="28"/>
        </w:rPr>
        <w:t>».</w:t>
      </w:r>
      <w:proofErr w:type="gramEnd"/>
    </w:p>
    <w:p w:rsidR="006171E8" w:rsidRPr="00D563AD" w:rsidRDefault="006171E8" w:rsidP="006171E8">
      <w:pPr>
        <w:widowControl w:val="0"/>
        <w:spacing w:after="0" w:line="240" w:lineRule="auto"/>
        <w:ind w:left="5670"/>
        <w:jc w:val="center"/>
        <w:outlineLvl w:val="1"/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71E8" w:rsidRPr="00D563AD" w:rsidRDefault="006171E8" w:rsidP="006171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364E" w:rsidRPr="00D563AD" w:rsidRDefault="00B7364E">
      <w:pPr>
        <w:rPr>
          <w:rFonts w:ascii="Times New Roman" w:hAnsi="Times New Roman" w:cs="Times New Roman"/>
        </w:rPr>
        <w:sectPr w:rsidR="00B7364E" w:rsidRPr="00D563AD" w:rsidSect="00D563A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3D84" w:rsidRPr="00D563A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1E0F41" w:rsidRPr="00D563A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63AD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CD6C7E" w:rsidRPr="00D563AD" w:rsidRDefault="00CD6C7E" w:rsidP="00CD6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E" w:rsidRPr="00D563AD" w:rsidRDefault="00CD6C7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1E0F41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E0F41" w:rsidRPr="00D563AD" w:rsidRDefault="001E0F41" w:rsidP="001E0F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1E0F41" w:rsidRPr="00D563AD" w:rsidRDefault="001E0F41" w:rsidP="001E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4282"/>
        <w:gridCol w:w="1491"/>
        <w:gridCol w:w="983"/>
        <w:gridCol w:w="992"/>
        <w:gridCol w:w="992"/>
        <w:gridCol w:w="1134"/>
        <w:gridCol w:w="992"/>
        <w:gridCol w:w="993"/>
        <w:gridCol w:w="850"/>
        <w:gridCol w:w="142"/>
        <w:gridCol w:w="709"/>
        <w:gridCol w:w="567"/>
      </w:tblGrid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D563A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563A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082726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082726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1 «Гармонизация межнациональных и </w:t>
            </w:r>
            <w:proofErr w:type="spellStart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pStyle w:val="a5"/>
              <w:jc w:val="both"/>
              <w:rPr>
                <w:sz w:val="24"/>
                <w:szCs w:val="24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D563AD" w:rsidRPr="00D563AD" w:rsidTr="00F31597">
        <w:trPr>
          <w:gridAfter w:val="1"/>
          <w:wAfter w:w="567" w:type="dxa"/>
          <w:trHeight w:val="527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населения округа, охваченного 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D56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F31597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430871"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безопасности в учреждениях образования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84" w:rsidRPr="00D563AD" w:rsidRDefault="00523D84" w:rsidP="00536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63AD" w:rsidRPr="00D563AD" w:rsidTr="007F5CA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523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523D84"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31597" w:rsidRPr="00D563AD" w:rsidTr="007F5CA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523D84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1E0F41"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41" w:rsidRPr="00D563AD" w:rsidRDefault="001E0F41" w:rsidP="0027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Default="00F31597" w:rsidP="00F31597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Default="00F31597" w:rsidP="00F31597">
            <w:pPr>
              <w:widowControl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597" w:rsidRPr="00F31597" w:rsidRDefault="00F31597" w:rsidP="00F31597">
            <w:pPr>
              <w:widowControl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AD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31597" w:rsidRPr="00D563AD" w:rsidRDefault="00F31597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AB07C3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«Приложение 7</w:t>
      </w:r>
    </w:p>
    <w:p w:rsidR="001E0F41" w:rsidRPr="00D563AD" w:rsidRDefault="001E0F41" w:rsidP="001E0F41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63AD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0F41" w:rsidRPr="00D563AD" w:rsidRDefault="001E0F41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65CD" w:rsidRPr="00D563AD" w:rsidRDefault="004D65CD" w:rsidP="004D65C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4D65CD" w:rsidRPr="00D563AD" w:rsidRDefault="004D65CD" w:rsidP="004D65CD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основных мероприятий подпрограмм Программы</w:t>
      </w:r>
    </w:p>
    <w:p w:rsidR="004D65CD" w:rsidRPr="00D563AD" w:rsidRDefault="004D65CD" w:rsidP="004D65CD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4380" w:type="dxa"/>
        <w:jc w:val="center"/>
        <w:tblInd w:w="95" w:type="dxa"/>
        <w:tblLook w:val="04A0" w:firstRow="1" w:lastRow="0" w:firstColumn="1" w:lastColumn="0" w:noHBand="0" w:noVBand="1"/>
      </w:tblPr>
      <w:tblGrid>
        <w:gridCol w:w="541"/>
        <w:gridCol w:w="2887"/>
        <w:gridCol w:w="2832"/>
        <w:gridCol w:w="2113"/>
        <w:gridCol w:w="1402"/>
        <w:gridCol w:w="1384"/>
        <w:gridCol w:w="2739"/>
        <w:gridCol w:w="482"/>
      </w:tblGrid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87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83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D563AD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2136" w:type="dxa"/>
            <w:vMerge w:val="restart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88" w:type="dxa"/>
            <w:gridSpan w:val="2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750" w:type="dxa"/>
            <w:vMerge w:val="restart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750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87" w:type="dxa"/>
            <w:vMerge w:val="restart"/>
            <w:vAlign w:val="center"/>
          </w:tcPr>
          <w:p w:rsidR="004D65CD" w:rsidRPr="00D563AD" w:rsidRDefault="004D65CD" w:rsidP="00802A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отношений, профилактика проявлений этнического и религиозного экстремизма на территории Перовского городского округа Ставропольского края»</w:t>
            </w:r>
          </w:p>
        </w:tc>
        <w:tc>
          <w:tcPr>
            <w:tcW w:w="2883" w:type="dxa"/>
            <w:vMerge w:val="restart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доля населения округа, считающего состояние межнациональных отношений в округе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стабильным, в общей численности лиц, участвовавших в анкетировании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D65CD" w:rsidRPr="00D563AD" w:rsidRDefault="004D65CD" w:rsidP="00802A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3AD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МЦ «Импульс»; 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2 подпрограммы 1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D563AD" w:rsidRPr="00D563AD" w:rsidTr="00363415">
        <w:trPr>
          <w:gridAfter w:val="1"/>
          <w:wAfter w:w="488" w:type="dxa"/>
          <w:trHeight w:val="2555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  <w:p w:rsidR="004D65CD" w:rsidRPr="00D563AD" w:rsidRDefault="004D65CD" w:rsidP="00802AA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- МЦ «Импульс»;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D65CD" w:rsidRPr="00D563AD" w:rsidRDefault="004D65CD" w:rsidP="0080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культуры;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управление по делам территорий;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отдел социального развития;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казачьи общества (по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мероприятий, направленных на сохранение и развитие казачьей культуры, в том числе мероприятий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военно-патриотической направленности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>Цель 3 Программы «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</w:t>
            </w:r>
            <w:r w:rsidR="00636292"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Петровского городского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  <w:r w:rsidR="00636292"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Ставропольского края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порядка,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взаимодействия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обеспечение выполнения функций органами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отдел по общественной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3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УТСЗН;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ФКУ УИИ УФСИН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 СО «Петровский центр социального обслуживания» (по согласованию)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рамках установленных законодательством полномочий</w:t>
            </w:r>
          </w:p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наркотиков,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887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4.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2883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vMerge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3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13892" w:type="dxa"/>
            <w:gridSpan w:val="7"/>
          </w:tcPr>
          <w:p w:rsidR="004D65CD" w:rsidRPr="00D563AD" w:rsidRDefault="004D65CD" w:rsidP="00802A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D563AD" w:rsidRPr="00D563AD" w:rsidTr="00363415">
        <w:trPr>
          <w:gridAfter w:val="1"/>
          <w:wAfter w:w="488" w:type="dxa"/>
          <w:trHeight w:val="2499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DE7377">
            <w:pPr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531977" w:rsidRPr="00D563A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DE7377" w:rsidRPr="00D563AD">
              <w:rPr>
                <w:rFonts w:ascii="Times New Roman" w:hAnsi="Times New Roman"/>
                <w:sz w:val="24"/>
                <w:szCs w:val="24"/>
              </w:rPr>
              <w:t xml:space="preserve"> в учреждениях образования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E7377" w:rsidRPr="00D563AD">
              <w:rPr>
                <w:rFonts w:ascii="Times New Roman" w:hAnsi="Times New Roman"/>
                <w:sz w:val="24"/>
                <w:szCs w:val="24"/>
              </w:rPr>
              <w:t>ой собственности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3AD" w:rsidRPr="00D563AD" w:rsidTr="00363415">
        <w:trPr>
          <w:gridAfter w:val="1"/>
          <w:wAfter w:w="488" w:type="dxa"/>
          <w:trHeight w:val="2499"/>
          <w:jc w:val="center"/>
        </w:trPr>
        <w:tc>
          <w:tcPr>
            <w:tcW w:w="448" w:type="dxa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87" w:type="dxa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Обустройство образовательных организаций целостными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ограждениями</w:t>
            </w:r>
          </w:p>
        </w:tc>
        <w:tc>
          <w:tcPr>
            <w:tcW w:w="2883" w:type="dxa"/>
          </w:tcPr>
          <w:p w:rsidR="004D65CD" w:rsidRPr="00D563AD" w:rsidRDefault="004D65CD" w:rsidP="00802A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36" w:type="dxa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0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</w:tcPr>
          <w:p w:rsidR="004D65CD" w:rsidRPr="00D563AD" w:rsidRDefault="004D65CD" w:rsidP="0080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D563AD" w:rsidRPr="00D563AD" w:rsidTr="00363415">
        <w:trPr>
          <w:gridAfter w:val="1"/>
          <w:wAfter w:w="488" w:type="dxa"/>
          <w:jc w:val="center"/>
        </w:trPr>
        <w:tc>
          <w:tcPr>
            <w:tcW w:w="448" w:type="dxa"/>
            <w:vMerge w:val="restart"/>
          </w:tcPr>
          <w:p w:rsidR="004D65CD" w:rsidRPr="00D563AD" w:rsidRDefault="004D65CD" w:rsidP="00802AA7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87" w:type="dxa"/>
            <w:vMerge w:val="restart"/>
          </w:tcPr>
          <w:p w:rsidR="004D65CD" w:rsidRPr="00D563AD" w:rsidRDefault="004D65CD" w:rsidP="00802AA7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Предупреждение и </w:t>
            </w:r>
            <w:r w:rsidRPr="00D563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ликвидация чрезвычайных ситуаций и стихийных бедствий</w:t>
            </w:r>
          </w:p>
        </w:tc>
        <w:tc>
          <w:tcPr>
            <w:tcW w:w="2883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2136" w:type="dxa"/>
            <w:vMerge w:val="restart"/>
          </w:tcPr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аварийно-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спасательное формирование;</w:t>
            </w:r>
          </w:p>
          <w:p w:rsidR="004D65CD" w:rsidRPr="00D563AD" w:rsidRDefault="004D65CD" w:rsidP="00802AA7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0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  <w:vMerge w:val="restart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4D65CD" w:rsidRPr="00D563AD" w:rsidRDefault="004D65CD" w:rsidP="00802AA7">
            <w:pPr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363415" w:rsidRPr="00D563AD" w:rsidTr="00363415">
        <w:trPr>
          <w:jc w:val="center"/>
        </w:trPr>
        <w:tc>
          <w:tcPr>
            <w:tcW w:w="448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D65CD" w:rsidRPr="00D563AD" w:rsidRDefault="004D65CD" w:rsidP="00802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D" w:rsidRPr="00D563AD" w:rsidRDefault="004D65CD" w:rsidP="00802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Default="00363415"/>
          <w:p w:rsidR="00363415" w:rsidRPr="00363415" w:rsidRDefault="00363415" w:rsidP="00363415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63A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D64E5" w:rsidRPr="00D563AD" w:rsidRDefault="00BD64E5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51BA" w:rsidRPr="00D563AD" w:rsidRDefault="00BD51BA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4B61" w:rsidRPr="00D563AD" w:rsidRDefault="00034B61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Pr="00D563A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Pr="00D563A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5CD" w:rsidRPr="00D563AD" w:rsidRDefault="004D65CD" w:rsidP="004D65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364E" w:rsidRPr="00D563AD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CD6C7E" w:rsidRPr="00D5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7C3" w:rsidRPr="00D563A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7364E" w:rsidRPr="00D563AD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7364E" w:rsidRPr="00D563AD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76AC" w:rsidRPr="001927C5" w:rsidRDefault="005776AC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6"/>
          <w:szCs w:val="24"/>
        </w:rPr>
      </w:pPr>
    </w:p>
    <w:p w:rsidR="00B7364E" w:rsidRPr="00D563AD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FE08D0" w:rsidRPr="00D563A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7364E" w:rsidRPr="00D563AD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AD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563AD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B7364E" w:rsidRPr="001927C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776AC" w:rsidRPr="00D563AD" w:rsidRDefault="005776AC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8D0" w:rsidRPr="00D563AD" w:rsidRDefault="00FE08D0" w:rsidP="00FE08D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3"/>
      <w:bookmarkEnd w:id="1"/>
      <w:r w:rsidRPr="00D563AD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FE08D0" w:rsidRPr="00D563AD" w:rsidRDefault="00FE08D0" w:rsidP="00FE08D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63AD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B7364E" w:rsidRPr="001927C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4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979"/>
        <w:gridCol w:w="993"/>
        <w:gridCol w:w="388"/>
      </w:tblGrid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1043"/>
            <w:bookmarkEnd w:id="2"/>
            <w:r w:rsidRPr="00D563AD">
              <w:rPr>
                <w:rFonts w:ascii="Times New Roman" w:hAnsi="Times New Roman" w:cs="Times New Roman"/>
              </w:rPr>
              <w:t>№</w:t>
            </w:r>
          </w:p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3AD">
              <w:rPr>
                <w:rFonts w:ascii="Times New Roman" w:hAnsi="Times New Roman" w:cs="Times New Roman"/>
              </w:rPr>
              <w:t>п</w:t>
            </w:r>
            <w:proofErr w:type="gramEnd"/>
            <w:r w:rsidRPr="00D563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2026</w:t>
            </w:r>
          </w:p>
        </w:tc>
      </w:tr>
      <w:tr w:rsidR="00D563AD" w:rsidRPr="00D563AD" w:rsidTr="001927C5">
        <w:trPr>
          <w:gridAfter w:val="1"/>
          <w:wAfter w:w="388" w:type="dxa"/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 w:rsidRPr="00D563A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27624,10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2601CC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2601CC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2601CC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27624,10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1CC" w:rsidRPr="00D563AD" w:rsidRDefault="002601CC" w:rsidP="00FA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средства краевого бюджета,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средства бюджета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27482,37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9689,19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9695,13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D46E42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C8750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C8750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C8750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506" w:rsidRPr="00D563AD" w:rsidRDefault="00C87506" w:rsidP="00C8750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C87506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376C82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19953,18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563AD"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в том числе следующие основные </w:t>
            </w:r>
            <w:r w:rsidRPr="00D563AD">
              <w:rPr>
                <w:rFonts w:ascii="Times New Roman" w:hAnsi="Times New Roman" w:cs="Times New Roman"/>
              </w:rPr>
              <w:lastRenderedPageBreak/>
              <w:t>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D563AD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D563AD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«Муниципальная </w:t>
            </w: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563AD">
              <w:rPr>
                <w:rFonts w:ascii="Times New Roman" w:hAnsi="Times New Roman" w:cs="Times New Roman"/>
                <w:b/>
              </w:rPr>
              <w:t xml:space="preserve">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BFD" w:rsidRPr="00D563AD" w:rsidRDefault="00FD7BFD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7BFD" w:rsidRPr="00D563AD" w:rsidRDefault="00FD7BFD" w:rsidP="00FD7BFD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7BFD" w:rsidRPr="00D563AD" w:rsidRDefault="00FD7BFD" w:rsidP="00FD7BFD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социального развития</w:t>
            </w:r>
          </w:p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3BC7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3BC7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3BC7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563AD">
              <w:rPr>
                <w:rFonts w:ascii="Times New Roman" w:hAnsi="Times New Roman" w:cs="Times New Roman"/>
                <w:b/>
              </w:rPr>
              <w:t xml:space="preserve">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Обеспечение взаимодействия субъектов профилактики правонарушений, в том числе правонарушений 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02BD7" w:rsidRPr="00D563AD" w:rsidRDefault="00F02BD7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02BD7" w:rsidRPr="00D563AD" w:rsidRDefault="00F02BD7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2BD7" w:rsidRPr="00D563AD" w:rsidRDefault="00F02BD7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отделу по общественной 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FE08D0"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FE08D0"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FE08D0"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02BD7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53C7" w:rsidRPr="00D563AD" w:rsidRDefault="00C65E98" w:rsidP="009B5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27231,71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E98" w:rsidRPr="00D563AD" w:rsidRDefault="00C65E98" w:rsidP="00C65E98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27231,71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E98" w:rsidRPr="00D563AD" w:rsidRDefault="00C65E98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E98" w:rsidRPr="00D563AD" w:rsidRDefault="00C65E98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563AD">
              <w:rPr>
                <w:rFonts w:ascii="Times New Roman" w:hAnsi="Times New Roman" w:cs="Times New Roman"/>
                <w:b/>
              </w:rPr>
              <w:t xml:space="preserve">, </w:t>
            </w:r>
            <w:r w:rsidRPr="00D563AD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27231,71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1D74" w:rsidRPr="00D563AD" w:rsidRDefault="000B1D74" w:rsidP="00FA1C16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A926FB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A926FB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A926FB" w:rsidP="008C6D83">
            <w:pPr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38FB" w:rsidRPr="00D563AD" w:rsidRDefault="00C738FB" w:rsidP="00C738FB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8FB" w:rsidRPr="00D563AD" w:rsidRDefault="00C738FB" w:rsidP="00C738FB">
            <w:pPr>
              <w:jc w:val="center"/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19953,18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-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7526" w:rsidRPr="00D563AD" w:rsidRDefault="00657526" w:rsidP="00657526">
            <w:pPr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526" w:rsidRPr="00D563AD" w:rsidRDefault="00657526" w:rsidP="00657526">
            <w:pPr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39120A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39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</w:rPr>
              <w:t>17793,18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spacing w:after="0"/>
              <w:jc w:val="center"/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aff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9B5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20A" w:rsidRPr="00D563AD" w:rsidRDefault="0039120A" w:rsidP="00FA1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63AD"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бюджет округа, в </w:t>
            </w:r>
            <w:proofErr w:type="spellStart"/>
            <w:r w:rsidRPr="00D563AD">
              <w:rPr>
                <w:rFonts w:ascii="Times New Roman" w:hAnsi="Times New Roman" w:cs="Times New Roman"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бюджета округа,</w:t>
            </w:r>
            <w:r w:rsidRPr="00D563A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563A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563AD">
              <w:rPr>
                <w:rFonts w:ascii="Times New Roman" w:hAnsi="Times New Roman" w:cs="Times New Roman"/>
                <w:bCs/>
              </w:rPr>
              <w:t>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FA1C16">
            <w:pPr>
              <w:spacing w:after="0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6968,03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310,50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69A1" w:rsidRPr="00D563AD" w:rsidRDefault="007D69A1" w:rsidP="007D69A1">
            <w:pPr>
              <w:spacing w:after="0" w:line="240" w:lineRule="auto"/>
              <w:jc w:val="center"/>
            </w:pPr>
            <w:r w:rsidRPr="00D563AD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7D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 xml:space="preserve">средства участников программы, </w:t>
            </w:r>
            <w:proofErr w:type="spellStart"/>
            <w:r w:rsidRPr="00D563AD">
              <w:rPr>
                <w:rFonts w:ascii="Times New Roman" w:hAnsi="Times New Roman" w:cs="Times New Roman"/>
              </w:rPr>
              <w:t>в.т.ч</w:t>
            </w:r>
            <w:proofErr w:type="spellEnd"/>
            <w:r w:rsidRPr="00D563A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D563AD" w:rsidRPr="00D563AD" w:rsidTr="001927C5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</w:tr>
      <w:tr w:rsidR="001927C5" w:rsidRPr="00D563AD" w:rsidTr="001927C5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D0" w:rsidRPr="00D563AD" w:rsidRDefault="00FE08D0" w:rsidP="008C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</w:tcPr>
          <w:p w:rsidR="001927C5" w:rsidRPr="001927C5" w:rsidRDefault="001927C5" w:rsidP="001927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A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4191F" w:rsidRPr="00D563AD" w:rsidRDefault="0044191F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4191F" w:rsidRPr="00D563AD" w:rsidSect="00D563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15" w:rsidRDefault="00363415" w:rsidP="00CD6C7E">
      <w:pPr>
        <w:spacing w:after="0" w:line="240" w:lineRule="auto"/>
      </w:pPr>
      <w:r>
        <w:separator/>
      </w:r>
    </w:p>
  </w:endnote>
  <w:endnote w:type="continuationSeparator" w:id="0">
    <w:p w:rsidR="00363415" w:rsidRDefault="00363415" w:rsidP="00C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Verdana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15" w:rsidRDefault="00363415" w:rsidP="00CD6C7E">
      <w:pPr>
        <w:spacing w:after="0" w:line="240" w:lineRule="auto"/>
      </w:pPr>
      <w:r>
        <w:separator/>
      </w:r>
    </w:p>
  </w:footnote>
  <w:footnote w:type="continuationSeparator" w:id="0">
    <w:p w:rsidR="00363415" w:rsidRDefault="00363415" w:rsidP="00CD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5FD"/>
    <w:rsid w:val="0000606E"/>
    <w:rsid w:val="00020EBA"/>
    <w:rsid w:val="00034B61"/>
    <w:rsid w:val="00082726"/>
    <w:rsid w:val="00085573"/>
    <w:rsid w:val="00086550"/>
    <w:rsid w:val="000A13D5"/>
    <w:rsid w:val="000B1D74"/>
    <w:rsid w:val="000B2344"/>
    <w:rsid w:val="000B27A0"/>
    <w:rsid w:val="00113211"/>
    <w:rsid w:val="00114DEB"/>
    <w:rsid w:val="00127867"/>
    <w:rsid w:val="001321BE"/>
    <w:rsid w:val="001336E1"/>
    <w:rsid w:val="001454A8"/>
    <w:rsid w:val="0016428E"/>
    <w:rsid w:val="00181FCA"/>
    <w:rsid w:val="001927C5"/>
    <w:rsid w:val="00194AE2"/>
    <w:rsid w:val="001A7999"/>
    <w:rsid w:val="001B6D7B"/>
    <w:rsid w:val="001E0F41"/>
    <w:rsid w:val="001E7F9F"/>
    <w:rsid w:val="00201F5F"/>
    <w:rsid w:val="00214FF7"/>
    <w:rsid w:val="00237A87"/>
    <w:rsid w:val="002601CC"/>
    <w:rsid w:val="00272F52"/>
    <w:rsid w:val="00273470"/>
    <w:rsid w:val="002925FD"/>
    <w:rsid w:val="002A7DE7"/>
    <w:rsid w:val="002B3B8A"/>
    <w:rsid w:val="00312F05"/>
    <w:rsid w:val="00325B41"/>
    <w:rsid w:val="00340B98"/>
    <w:rsid w:val="0035206A"/>
    <w:rsid w:val="00363415"/>
    <w:rsid w:val="00376C82"/>
    <w:rsid w:val="003908D3"/>
    <w:rsid w:val="0039120A"/>
    <w:rsid w:val="003C0764"/>
    <w:rsid w:val="00401AA8"/>
    <w:rsid w:val="00406E8E"/>
    <w:rsid w:val="00414E3B"/>
    <w:rsid w:val="00424515"/>
    <w:rsid w:val="00430871"/>
    <w:rsid w:val="0044191F"/>
    <w:rsid w:val="00442C1E"/>
    <w:rsid w:val="00446355"/>
    <w:rsid w:val="00453972"/>
    <w:rsid w:val="00457DED"/>
    <w:rsid w:val="00485BDE"/>
    <w:rsid w:val="00493E3E"/>
    <w:rsid w:val="004A346E"/>
    <w:rsid w:val="004B75E2"/>
    <w:rsid w:val="004D5F9C"/>
    <w:rsid w:val="004D65CD"/>
    <w:rsid w:val="00505252"/>
    <w:rsid w:val="005136F3"/>
    <w:rsid w:val="0051470E"/>
    <w:rsid w:val="00517359"/>
    <w:rsid w:val="00523D84"/>
    <w:rsid w:val="00531977"/>
    <w:rsid w:val="0053697B"/>
    <w:rsid w:val="00536AB4"/>
    <w:rsid w:val="00564BA4"/>
    <w:rsid w:val="005776AC"/>
    <w:rsid w:val="0058286A"/>
    <w:rsid w:val="00586594"/>
    <w:rsid w:val="005B3F41"/>
    <w:rsid w:val="005D50E9"/>
    <w:rsid w:val="005E5FD5"/>
    <w:rsid w:val="00616F49"/>
    <w:rsid w:val="006171E8"/>
    <w:rsid w:val="00633997"/>
    <w:rsid w:val="00636292"/>
    <w:rsid w:val="00647FE4"/>
    <w:rsid w:val="00657526"/>
    <w:rsid w:val="006725B2"/>
    <w:rsid w:val="006B18D6"/>
    <w:rsid w:val="006E63FF"/>
    <w:rsid w:val="006F031F"/>
    <w:rsid w:val="007018C7"/>
    <w:rsid w:val="0070345B"/>
    <w:rsid w:val="00705ABB"/>
    <w:rsid w:val="0070620D"/>
    <w:rsid w:val="00742440"/>
    <w:rsid w:val="0078276B"/>
    <w:rsid w:val="00792F16"/>
    <w:rsid w:val="0079562B"/>
    <w:rsid w:val="00796C21"/>
    <w:rsid w:val="007D69A1"/>
    <w:rsid w:val="007E1B1E"/>
    <w:rsid w:val="007E6FE6"/>
    <w:rsid w:val="007F5CAD"/>
    <w:rsid w:val="007F7072"/>
    <w:rsid w:val="00802AA7"/>
    <w:rsid w:val="00835461"/>
    <w:rsid w:val="008436D1"/>
    <w:rsid w:val="008442A4"/>
    <w:rsid w:val="008C6D83"/>
    <w:rsid w:val="008D5D2C"/>
    <w:rsid w:val="009208B3"/>
    <w:rsid w:val="009233AF"/>
    <w:rsid w:val="00923449"/>
    <w:rsid w:val="00930695"/>
    <w:rsid w:val="00946111"/>
    <w:rsid w:val="00947826"/>
    <w:rsid w:val="00947A3E"/>
    <w:rsid w:val="0097534D"/>
    <w:rsid w:val="00976371"/>
    <w:rsid w:val="00990032"/>
    <w:rsid w:val="009928D5"/>
    <w:rsid w:val="009B53C7"/>
    <w:rsid w:val="009C220B"/>
    <w:rsid w:val="009D75B4"/>
    <w:rsid w:val="009E45C2"/>
    <w:rsid w:val="00A3622D"/>
    <w:rsid w:val="00A513E0"/>
    <w:rsid w:val="00A80DD9"/>
    <w:rsid w:val="00A926FB"/>
    <w:rsid w:val="00AA00A6"/>
    <w:rsid w:val="00AB07C3"/>
    <w:rsid w:val="00AC1D1C"/>
    <w:rsid w:val="00AF7601"/>
    <w:rsid w:val="00AF7846"/>
    <w:rsid w:val="00B0093C"/>
    <w:rsid w:val="00B021F8"/>
    <w:rsid w:val="00B11F92"/>
    <w:rsid w:val="00B22134"/>
    <w:rsid w:val="00B460E0"/>
    <w:rsid w:val="00B61C65"/>
    <w:rsid w:val="00B7364E"/>
    <w:rsid w:val="00B81148"/>
    <w:rsid w:val="00BA0F78"/>
    <w:rsid w:val="00BB2435"/>
    <w:rsid w:val="00BB7A9F"/>
    <w:rsid w:val="00BC10A1"/>
    <w:rsid w:val="00BC38DD"/>
    <w:rsid w:val="00BD51BA"/>
    <w:rsid w:val="00BD64E5"/>
    <w:rsid w:val="00C01C9B"/>
    <w:rsid w:val="00C412E3"/>
    <w:rsid w:val="00C65E98"/>
    <w:rsid w:val="00C71C09"/>
    <w:rsid w:val="00C72668"/>
    <w:rsid w:val="00C738FB"/>
    <w:rsid w:val="00C81797"/>
    <w:rsid w:val="00C87506"/>
    <w:rsid w:val="00CA071C"/>
    <w:rsid w:val="00CA43D6"/>
    <w:rsid w:val="00CD643A"/>
    <w:rsid w:val="00CD6C7E"/>
    <w:rsid w:val="00D37FBE"/>
    <w:rsid w:val="00D46E42"/>
    <w:rsid w:val="00D563AD"/>
    <w:rsid w:val="00D768E9"/>
    <w:rsid w:val="00DA0985"/>
    <w:rsid w:val="00DA362C"/>
    <w:rsid w:val="00DA3B02"/>
    <w:rsid w:val="00DD5D9A"/>
    <w:rsid w:val="00DE7377"/>
    <w:rsid w:val="00E04126"/>
    <w:rsid w:val="00E55566"/>
    <w:rsid w:val="00E619F5"/>
    <w:rsid w:val="00E970E0"/>
    <w:rsid w:val="00EB26B4"/>
    <w:rsid w:val="00EC49D0"/>
    <w:rsid w:val="00EE554A"/>
    <w:rsid w:val="00F02BD7"/>
    <w:rsid w:val="00F06438"/>
    <w:rsid w:val="00F1785C"/>
    <w:rsid w:val="00F17BED"/>
    <w:rsid w:val="00F31597"/>
    <w:rsid w:val="00F52825"/>
    <w:rsid w:val="00F5302D"/>
    <w:rsid w:val="00F5706E"/>
    <w:rsid w:val="00F65F54"/>
    <w:rsid w:val="00F666EF"/>
    <w:rsid w:val="00FA1C16"/>
    <w:rsid w:val="00FD7BFD"/>
    <w:rsid w:val="00FE08D0"/>
    <w:rsid w:val="00FE3BC7"/>
    <w:rsid w:val="00FF11AE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3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qFormat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uiPriority w:val="59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21">
    <w:name w:val="Название Знак2"/>
    <w:link w:val="af0"/>
    <w:qFormat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qFormat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qFormat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qFormat/>
    <w:rsid w:val="0044191F"/>
  </w:style>
  <w:style w:type="paragraph" w:styleId="af4">
    <w:name w:val="Normal (Web)"/>
    <w:basedOn w:val="a"/>
    <w:uiPriority w:val="99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qFormat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qFormat/>
    <w:rsid w:val="0044191F"/>
  </w:style>
  <w:style w:type="paragraph" w:styleId="31">
    <w:name w:val="Body Text Indent 3"/>
    <w:basedOn w:val="a"/>
    <w:link w:val="32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paragraph" w:customStyle="1" w:styleId="16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qFormat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qFormat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ff5">
    <w:name w:val="Привязка сноски"/>
    <w:rsid w:val="00FE08D0"/>
    <w:rPr>
      <w:vertAlign w:val="superscript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aff6">
    <w:name w:val="Привязка концевой сноски"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ListLabel1">
    <w:name w:val="ListLabel 1"/>
    <w:qFormat/>
    <w:rsid w:val="00FE08D0"/>
    <w:rPr>
      <w:rFonts w:eastAsia="Cambria" w:cs="Times New Roman"/>
    </w:rPr>
  </w:style>
  <w:style w:type="character" w:customStyle="1" w:styleId="ListLabel2">
    <w:name w:val="ListLabel 2"/>
    <w:qFormat/>
    <w:rsid w:val="00FE08D0"/>
    <w:rPr>
      <w:rFonts w:cs="Courier New"/>
    </w:rPr>
  </w:style>
  <w:style w:type="character" w:customStyle="1" w:styleId="ListLabel3">
    <w:name w:val="ListLabel 3"/>
    <w:qFormat/>
    <w:rsid w:val="00FE08D0"/>
    <w:rPr>
      <w:rFonts w:cs="Courier New"/>
    </w:rPr>
  </w:style>
  <w:style w:type="character" w:customStyle="1" w:styleId="ListLabel4">
    <w:name w:val="ListLabel 4"/>
    <w:qFormat/>
    <w:rsid w:val="00FE08D0"/>
    <w:rPr>
      <w:rFonts w:cs="Courier New"/>
    </w:rPr>
  </w:style>
  <w:style w:type="character" w:customStyle="1" w:styleId="ListLabel5">
    <w:name w:val="ListLabel 5"/>
    <w:qFormat/>
    <w:rsid w:val="00FE08D0"/>
    <w:rPr>
      <w:sz w:val="20"/>
    </w:rPr>
  </w:style>
  <w:style w:type="character" w:customStyle="1" w:styleId="ListLabel6">
    <w:name w:val="ListLabel 6"/>
    <w:qFormat/>
    <w:rsid w:val="00FE08D0"/>
    <w:rPr>
      <w:sz w:val="20"/>
    </w:rPr>
  </w:style>
  <w:style w:type="character" w:customStyle="1" w:styleId="ListLabel7">
    <w:name w:val="ListLabel 7"/>
    <w:qFormat/>
    <w:rsid w:val="00FE08D0"/>
    <w:rPr>
      <w:rFonts w:cs="Arial"/>
    </w:rPr>
  </w:style>
  <w:style w:type="character" w:customStyle="1" w:styleId="ListLabel8">
    <w:name w:val="ListLabel 8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Заголовок"/>
    <w:basedOn w:val="a"/>
    <w:next w:val="a3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FE08D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customStyle="1" w:styleId="19">
    <w:name w:val="Верх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Текст сноски1"/>
    <w:basedOn w:val="a"/>
    <w:semiHidden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character" w:customStyle="1" w:styleId="1d">
    <w:name w:val="Верхний колонтитул Знак1"/>
    <w:basedOn w:val="a0"/>
    <w:semiHidden/>
    <w:rsid w:val="00FE08D0"/>
    <w:rPr>
      <w:sz w:val="22"/>
    </w:rPr>
  </w:style>
  <w:style w:type="character" w:customStyle="1" w:styleId="1e">
    <w:name w:val="Нижний колонтитул Знак1"/>
    <w:basedOn w:val="a0"/>
    <w:semiHidden/>
    <w:rsid w:val="00FE08D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40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cp:lastPrinted>2021-03-02T11:17:00Z</cp:lastPrinted>
  <dcterms:created xsi:type="dcterms:W3CDTF">2020-02-13T12:57:00Z</dcterms:created>
  <dcterms:modified xsi:type="dcterms:W3CDTF">2021-03-05T08:15:00Z</dcterms:modified>
</cp:coreProperties>
</file>