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AE" w:rsidRDefault="00147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</w:t>
      </w:r>
      <w:proofErr w:type="gramStart"/>
      <w:r w:rsidR="00133B8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133B8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ПРОЕКТ</w:t>
      </w:r>
    </w:p>
    <w:p w:rsidR="008425AE" w:rsidRDefault="0084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425AE" w:rsidRDefault="0013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8425AE" w:rsidRDefault="0013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8425AE" w:rsidRDefault="008425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49"/>
        <w:gridCol w:w="3169"/>
        <w:gridCol w:w="3138"/>
      </w:tblGrid>
      <w:tr w:rsidR="008425AE">
        <w:trPr>
          <w:trHeight w:val="208"/>
        </w:trPr>
        <w:tc>
          <w:tcPr>
            <w:tcW w:w="3049" w:type="dxa"/>
            <w:shd w:val="clear" w:color="auto" w:fill="auto"/>
          </w:tcPr>
          <w:p w:rsidR="008425AE" w:rsidRDefault="008425A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8425AE" w:rsidRDefault="0013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="00147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Светлоград</w:t>
            </w:r>
          </w:p>
        </w:tc>
        <w:tc>
          <w:tcPr>
            <w:tcW w:w="3138" w:type="dxa"/>
            <w:shd w:val="clear" w:color="auto" w:fill="auto"/>
          </w:tcPr>
          <w:p w:rsidR="008425AE" w:rsidRDefault="008425A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25AE" w:rsidRDefault="008425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5AE" w:rsidRDefault="00133B80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 № 1569</w:t>
      </w: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133B80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редакции от 30 августа 2018 г. № 1547, от 11 января 2019 г. № 9, от </w:t>
      </w:r>
      <w:r w:rsidR="00147C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08 августа 2019 г. № 1645, от 06 июля 2020г. № 867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14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№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571-р, от 04 декабря 2018 г. № 656-р, от 20 сентября 2019 г. № 554-р, от </w:t>
      </w:r>
      <w:r w:rsidR="00147C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02 июля 2020 г. № 370-р), решением Совета депутатов Петровского городского округа ставропольского края от 10 декабря 2020 года № 104 </w:t>
      </w:r>
      <w:r w:rsidR="00147C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бюджете Петровского городского округа Ставропольского края на 2021 год и плановый период 2022 и 2023 годов» администрация Петровского городского округа Ставропольского края</w:t>
      </w:r>
      <w:proofErr w:type="gramEnd"/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8425AE" w:rsidRDefault="00133B8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147CC4" w:rsidRDefault="0014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8425AE" w:rsidRDefault="00133B80">
      <w:pPr>
        <w:pStyle w:val="20"/>
        <w:spacing w:after="0" w:line="240" w:lineRule="auto"/>
        <w:ind w:firstLine="709"/>
        <w:jc w:val="both"/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климата».</w:t>
      </w:r>
    </w:p>
    <w:p w:rsidR="008425AE" w:rsidRDefault="008425A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Style w:val="FontStyle13"/>
          <w:rFonts w:eastAsia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5AE" w:rsidRDefault="00133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425AE" w:rsidRDefault="008425AE">
      <w:pPr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133B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8425AE" w:rsidRDefault="00133B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</w:p>
    <w:p w:rsidR="008425AE" w:rsidRDefault="00133B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8425AE" w:rsidRDefault="0084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47CC4" w:rsidRDefault="00147CC4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A43A08" w:rsidRPr="00147CC4" w:rsidRDefault="00A43A08" w:rsidP="00147CC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</w:rPr>
      </w:pPr>
      <w:bookmarkStart w:id="0" w:name="_GoBack"/>
      <w:bookmarkEnd w:id="0"/>
    </w:p>
    <w:p w:rsidR="008425AE" w:rsidRDefault="008425AE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Times New Roman" w:cs="Times New Roman"/>
          <w:color w:val="FFFFFF" w:themeColor="background1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133B8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133B8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8425AE" w:rsidRDefault="00133B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</w:tc>
      </w:tr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133B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</w:p>
        </w:tc>
      </w:tr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25AE" w:rsidRDefault="008425A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E" w:rsidRDefault="008425A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E" w:rsidRDefault="00133B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</w:t>
      </w:r>
    </w:p>
    <w:p w:rsidR="008425AE" w:rsidRDefault="00133B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муниципальную программу Петровского городского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«Модернизация экономики и улучшение инвестиционного климата»</w:t>
      </w:r>
    </w:p>
    <w:p w:rsidR="008425AE" w:rsidRDefault="008425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 паспорте Программы: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Абзац третий позиции «Участники Программы» изложить в следующей редакции: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субъекты малого и среднего предпринимательства Петровского городского округа Ставропольского края (далее - МСП), включая индивидуальных предпринимателей и физических лиц, не являющихся индивидуальными предпринимателями и применяющих специальный налоговый </w:t>
      </w:r>
      <w:hyperlink r:id="rId7" w:anchor="dst0" w:history="1">
        <w:r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режим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«Налог на профессиональный доход» (далее - субъекты МСП, включая ИП и самозанятых) (по согласованию)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Позицию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Объемы и источники финансового обеспечения Программы»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pPr w:leftFromText="180" w:rightFromText="180" w:vertAnchor="text" w:tblpXSpec="right" w:tblpY="1"/>
        <w:tblW w:w="9355" w:type="dxa"/>
        <w:tblLook w:val="04A0" w:firstRow="1" w:lastRow="0" w:firstColumn="1" w:lastColumn="0" w:noHBand="0" w:noVBand="1"/>
      </w:tblPr>
      <w:tblGrid>
        <w:gridCol w:w="2741"/>
        <w:gridCol w:w="6614"/>
      </w:tblGrid>
      <w:tr w:rsidR="008425AE">
        <w:tc>
          <w:tcPr>
            <w:tcW w:w="2741" w:type="dxa"/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«Объемы и источники финансового обеспечения Программы</w:t>
            </w:r>
          </w:p>
          <w:p w:rsidR="008425AE" w:rsidRDefault="008425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6613" w:type="dxa"/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Программы составит 7 656,00 тысяч рублей, в том числе по источникам финансового обеспечения:</w:t>
            </w:r>
          </w:p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Ставропольского края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 по годам: 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          2 400,00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- 390,00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- 390,00 тысяч рублей,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- 390,00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- 410,00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- 410,00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- 410,00 тысяч рублей;</w:t>
            </w:r>
          </w:p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налоговые расходы бюджета округа - 0,00 тысяч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участников Программы 5 256,00 тысяч  рублей, в том числе по годам: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- 850,00 тысяч рублей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- 858,00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- 866,00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- 873,00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- 884,00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- 925,00 тысяч рублей »</w:t>
            </w:r>
          </w:p>
        </w:tc>
      </w:tr>
    </w:tbl>
    <w:p w:rsidR="008425AE" w:rsidRDefault="0084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00000"/>
          <w:szCs w:val="28"/>
          <w:lang w:eastAsia="ru-RU"/>
        </w:rPr>
        <w:t>1.3. В разделе «Приоритеты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края»: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1.3.1. П</w:t>
      </w:r>
      <w:r>
        <w:rPr>
          <w:rFonts w:ascii="Times New Roman" w:hAnsi="Times New Roman" w:cs="Times New Roman"/>
          <w:sz w:val="28"/>
          <w:szCs w:val="28"/>
        </w:rPr>
        <w:t>осле абзаца одиннадцатого дополнить абзацем следующего содержания: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8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 w:cs="Times New Roman"/>
          <w:color w:val="010101"/>
          <w:sz w:val="28"/>
          <w:szCs w:val="28"/>
        </w:rPr>
        <w:t xml:space="preserve"> Ставропольского края «О введении в действие на территории Ставропольского края специального налогового режима «Налог на профессиональный доход»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1.3.2. В абзаце двадцать седьмом слово «консультационной» заменить словом «консультативной»;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1.3.3. После абзаца двадцать седьмого дополнить абзацем следующего содержания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«оказание информационной поддержки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самозанятым</w:t>
      </w:r>
      <w:proofErr w:type="spellEnd"/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;</w:t>
      </w:r>
      <w:r w:rsidR="00147CC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10101"/>
          <w:szCs w:val="28"/>
          <w:lang w:eastAsia="ru-RU"/>
        </w:rPr>
        <w:t>1.3.4. В абзаце тридцать первом слово «консультационной» заменить словом «информационной».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10101"/>
          <w:szCs w:val="28"/>
          <w:lang w:eastAsia="ru-RU"/>
        </w:rPr>
        <w:t>2. 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графу 2 пункта 10 дополнить словами:</w:t>
      </w:r>
      <w:r w:rsidR="00147CC4">
        <w:rPr>
          <w:rFonts w:eastAsia="Times New Roman"/>
          <w:color w:val="010101"/>
          <w:szCs w:val="28"/>
          <w:lang w:eastAsia="ru-RU"/>
        </w:rPr>
        <w:t xml:space="preserve"> </w:t>
      </w:r>
      <w:r>
        <w:rPr>
          <w:rFonts w:eastAsia="Times New Roman"/>
          <w:color w:val="010101"/>
          <w:szCs w:val="28"/>
          <w:lang w:eastAsia="ru-RU"/>
        </w:rPr>
        <w:t>«и самозанятых».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00000"/>
          <w:szCs w:val="28"/>
          <w:lang w:eastAsia="ru-RU"/>
        </w:rPr>
        <w:t xml:space="preserve">3. В приложении 2 «Перечень основных мероприятий подпрограмм Программы» к Программе пункт 6 изложить в новой редакции </w:t>
      </w:r>
      <w:r>
        <w:rPr>
          <w:rFonts w:eastAsia="Times New Roman"/>
          <w:szCs w:val="28"/>
          <w:lang w:eastAsia="ru-RU"/>
        </w:rPr>
        <w:t>согласно приложению 1 к настоящим изменениям.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szCs w:val="28"/>
          <w:lang w:eastAsia="ru-RU"/>
        </w:rPr>
        <w:t>4. Приложение 3 «Объемы и источники финансового обеспечения Программы» к Программе изложить в новой редакции согласно приложению 2 к настоящим изменениям.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szCs w:val="28"/>
          <w:lang w:eastAsia="ru-RU"/>
        </w:rPr>
        <w:t xml:space="preserve">5.В приложении 6 «Подпрограмма </w:t>
      </w:r>
      <w:r>
        <w:rPr>
          <w:rFonts w:eastAsia="Calibri"/>
          <w:szCs w:val="28"/>
        </w:rPr>
        <w:t>«Поддержка и развитие малого и среднего предпринимательства» к Программе: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5.1. В паспорте Подпрограммы: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5.1.1. Абзац первый позиции «Участники подпрограммы» после слов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«субъекты МСП» дополнить словами «,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включая ИП и самозанятых»;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5.1.2. Абзац четвертый позицию «Показатели решения задач подпрограммы» изложить в следующей редакции: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численность занятых в сфере МСП, включая индивидуальных предпринимателей и самозанятых;»;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5.1.3.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озицию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Объемы и источники финансового обеспечения подпрограммы» изложить в следующей редакции:</w:t>
      </w:r>
    </w:p>
    <w:tbl>
      <w:tblPr>
        <w:tblW w:w="9355" w:type="dxa"/>
        <w:tblInd w:w="-2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6126"/>
      </w:tblGrid>
      <w:tr w:rsidR="008425AE">
        <w:tc>
          <w:tcPr>
            <w:tcW w:w="3229" w:type="dxa"/>
            <w:shd w:val="clear" w:color="auto" w:fill="auto"/>
          </w:tcPr>
          <w:p w:rsidR="008425AE" w:rsidRDefault="00133B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6125" w:type="dxa"/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подпрограммы составит 2 400,00 тысяч рублей, в том числе по источникам финансового обеспечения: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Ставропольского края - 0,00 тысяч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рублей;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Петровского городского округа Ставропольского края (далее - бюджет округа) - 2 400,00 тыс.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- 390,00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- 390,00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- 390,00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- 410,00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- 410,00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- 410,00 тысяч рублей;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расходы бюджета округа - 0,00 тысяч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рублей;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подпрограммы - 0,00 тысяч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 »</w:t>
            </w:r>
          </w:p>
        </w:tc>
      </w:tr>
    </w:tbl>
    <w:p w:rsidR="008425AE" w:rsidRDefault="008425A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5.2. В разделе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«Характеристика основных мероприятий подпрограммы»: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5.2.1. Пункт «2» изложить в новой редакции:</w:t>
      </w:r>
    </w:p>
    <w:p w:rsidR="008425AE" w:rsidRDefault="0013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2. Популяризация предпринимательства.</w:t>
      </w:r>
    </w:p>
    <w:p w:rsidR="008425AE" w:rsidRDefault="00133B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- размещение на официальном сайте администрации информации: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об особенностях налогового режима 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занятых в сфере МСП, включая ИП и самозанятых;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о развитии пищевой и перерабатывающей промышленности;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о торговом и бытовом обслуживании населения округа;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о проводимых семинарах,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, «круглых столов», конференциях, образовательных мероприятиях для субъектов </w:t>
      </w:r>
      <w:r>
        <w:rPr>
          <w:rFonts w:ascii="Times New Roman" w:eastAsia="Cambria" w:hAnsi="Times New Roman" w:cs="Times New Roman"/>
          <w:color w:val="030303"/>
          <w:sz w:val="28"/>
          <w:szCs w:val="28"/>
          <w:lang w:eastAsia="ar-SA"/>
        </w:rPr>
        <w:t>МСП, включая ИП и самозанятых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>;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- организация и проведение: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окружного конкурса «Предприниматель года»;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торжественного мероприятия, посвященного профессиональному празднику «День российского предпринимательства»;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фестиваля «Праздник хлеба»;</w:t>
      </w:r>
    </w:p>
    <w:p w:rsidR="008425AE" w:rsidRDefault="00133B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совещаний, семинаров, «круглых столов», конференций с участием в них руководителей и специалистов организаций, образующих инфраструктуру поддержки субъектов МСП в Ставропольском крае, в том числе в рамках координационного совета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развитию малого и среднего предпринимательства в Петровском городском округе Ставропольского края;</w:t>
      </w:r>
    </w:p>
    <w:p w:rsidR="008425AE" w:rsidRDefault="00133B80">
      <w:pPr>
        <w:widowControl w:val="0"/>
        <w:snapToGri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>- мониторинг количества субъектов МСП, включая ИП и самозанятых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425AE" w:rsidRDefault="00133B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Соисполнитель - отдел сельского хозяйства.</w:t>
      </w:r>
    </w:p>
    <w:p w:rsidR="008425AE" w:rsidRDefault="0013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реализации данного основного мероприятии участвуют субъекты МСП,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включая ИП и самозанятых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 (по согласованию)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»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>.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5.2.2. В абзаце четвертом пункта «3» </w:t>
      </w:r>
      <w:r>
        <w:rPr>
          <w:rFonts w:ascii="Times New Roman" w:eastAsia="Cambria" w:hAnsi="Times New Roman" w:cs="Times New Roman"/>
          <w:color w:val="010101"/>
          <w:sz w:val="28"/>
          <w:szCs w:val="28"/>
          <w:lang w:eastAsia="ar-SA"/>
        </w:rPr>
        <w:t>слово «консультационной» заменить словом «консультативной».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5.2.3. Абзац седьмой пункта «3» изложить в следующей редакции: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«определение мест для осуществления нестационарной торговли, утверждение схем размещения нестационарных торговых объектов (объектов по предоставлению услуг), в том числе проведение аукционов на право заключения договоров на размещение нестационарных торговых объектов (объектов по предоставлению услуг) на территории округа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>.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425AE" w:rsidRDefault="008425AE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8425AE" w:rsidRDefault="008425AE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8425AE" w:rsidRDefault="00133B80">
      <w:pPr>
        <w:shd w:val="clear" w:color="auto" w:fill="FFFFFF"/>
        <w:spacing w:before="5"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 администрации</w:t>
      </w:r>
    </w:p>
    <w:p w:rsidR="008425AE" w:rsidRDefault="00133B8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425AE" w:rsidRDefault="00133B80">
      <w:pPr>
        <w:shd w:val="clear" w:color="auto" w:fill="FFFFFF"/>
        <w:spacing w:before="5" w:after="0" w:line="240" w:lineRule="exact"/>
        <w:jc w:val="both"/>
        <w:sectPr w:rsidR="008425AE" w:rsidSect="00147CC4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tbl>
      <w:tblPr>
        <w:tblW w:w="15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58"/>
        <w:gridCol w:w="5142"/>
      </w:tblGrid>
      <w:tr w:rsidR="008425AE">
        <w:tc>
          <w:tcPr>
            <w:tcW w:w="10057" w:type="dxa"/>
            <w:shd w:val="clear" w:color="auto" w:fill="auto"/>
          </w:tcPr>
          <w:p w:rsidR="008425AE" w:rsidRDefault="008425A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8425AE" w:rsidRDefault="00133B80">
            <w:pPr>
              <w:pStyle w:val="af0"/>
              <w:spacing w:after="0" w:line="255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8425AE" w:rsidRDefault="00133B80">
            <w:pPr>
              <w:pStyle w:val="af0"/>
              <w:spacing w:after="0" w:line="255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изменениям, которые вносятся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муниципальную программу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«Модернизация экономики и улучшение инвестиционного климата»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425AE" w:rsidRDefault="008425A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10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"/>
        <w:gridCol w:w="507"/>
        <w:gridCol w:w="2770"/>
        <w:gridCol w:w="2880"/>
        <w:gridCol w:w="2937"/>
        <w:gridCol w:w="1281"/>
        <w:gridCol w:w="1217"/>
        <w:gridCol w:w="2987"/>
        <w:gridCol w:w="250"/>
      </w:tblGrid>
      <w:tr w:rsidR="008425AE">
        <w:trPr>
          <w:jc w:val="right"/>
        </w:trPr>
        <w:tc>
          <w:tcPr>
            <w:tcW w:w="281" w:type="dxa"/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предпринимательства; </w:t>
            </w:r>
          </w:p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МСП, включая ИП и самозанятых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tabs>
                <w:tab w:val="left" w:pos="566"/>
              </w:tabs>
              <w:spacing w:after="1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численность </w:t>
            </w:r>
            <w:proofErr w:type="gram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сфере малого и среднего предпринимательства, включая ИП и самозанятых (нарастающим итогом)</w:t>
            </w:r>
          </w:p>
        </w:tc>
        <w:tc>
          <w:tcPr>
            <w:tcW w:w="213" w:type="dxa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133B80">
            <w:pPr>
              <w:pStyle w:val="ConsPlusNormal"/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425AE" w:rsidRDefault="008425AE">
      <w:pPr>
        <w:sectPr w:rsidR="008425AE">
          <w:pgSz w:w="16838" w:h="11906" w:orient="landscape"/>
          <w:pgMar w:top="1701" w:right="567" w:bottom="567" w:left="1134" w:header="0" w:footer="0" w:gutter="0"/>
          <w:cols w:space="720"/>
          <w:formProt w:val="0"/>
          <w:docGrid w:linePitch="100"/>
        </w:sectPr>
      </w:pPr>
    </w:p>
    <w:tbl>
      <w:tblPr>
        <w:tblW w:w="14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59"/>
        <w:gridCol w:w="4228"/>
      </w:tblGrid>
      <w:tr w:rsidR="008425AE">
        <w:tc>
          <w:tcPr>
            <w:tcW w:w="10058" w:type="dxa"/>
            <w:shd w:val="clear" w:color="auto" w:fill="auto"/>
          </w:tcPr>
          <w:p w:rsidR="008425AE" w:rsidRDefault="008425A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:rsidR="008425AE" w:rsidRDefault="00133B80">
            <w:pPr>
              <w:pStyle w:val="af0"/>
              <w:spacing w:after="0" w:line="255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8425AE" w:rsidRDefault="00133B80">
            <w:pPr>
              <w:pStyle w:val="af0"/>
              <w:spacing w:after="0" w:line="255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изменениям, которые вносятся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муниципальную программу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«Модернизация экономики и улучшение инвестиционного климата»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25AE">
        <w:tc>
          <w:tcPr>
            <w:tcW w:w="10058" w:type="dxa"/>
            <w:shd w:val="clear" w:color="auto" w:fill="auto"/>
          </w:tcPr>
          <w:p w:rsidR="008425AE" w:rsidRDefault="008425A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:rsidR="008425AE" w:rsidRDefault="008425AE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25AE" w:rsidRDefault="00133B80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«Приложение 3</w:t>
            </w:r>
          </w:p>
          <w:p w:rsidR="008425AE" w:rsidRDefault="00133B8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«Модернизация экономики и улучшение инвестиционного климата»</w:t>
            </w:r>
          </w:p>
        </w:tc>
      </w:tr>
    </w:tbl>
    <w:p w:rsidR="008425AE" w:rsidRDefault="008425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5AE" w:rsidRDefault="008425AE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8425AE" w:rsidRDefault="00133B80">
      <w:pPr>
        <w:pStyle w:val="ConsPlusTitle"/>
        <w:spacing w:after="0" w:line="240" w:lineRule="auto"/>
        <w:jc w:val="center"/>
        <w:rPr>
          <w:szCs w:val="22"/>
        </w:rPr>
      </w:pPr>
      <w:bookmarkStart w:id="1" w:name="P589"/>
      <w:bookmarkEnd w:id="1"/>
      <w:r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8425AE" w:rsidRDefault="00133B80">
      <w:pPr>
        <w:pStyle w:val="ConsPlusTitle"/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Times New Roman" w:eastAsia="Calibri" w:hAnsi="Times New Roman" w:cs="Times New Roman"/>
          <w:b w:val="0"/>
          <w:szCs w:val="22"/>
        </w:rPr>
        <w:t>ФИНАНСОВОГО ОБЕСПЕЧЕНИЯ ПРОГРАММЫ</w:t>
      </w:r>
    </w:p>
    <w:p w:rsidR="008425AE" w:rsidRDefault="008425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4284" w:type="dxa"/>
        <w:tblInd w:w="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2961"/>
        <w:gridCol w:w="4593"/>
        <w:gridCol w:w="955"/>
        <w:gridCol w:w="1017"/>
        <w:gridCol w:w="1019"/>
        <w:gridCol w:w="1017"/>
        <w:gridCol w:w="968"/>
        <w:gridCol w:w="967"/>
        <w:gridCol w:w="8"/>
        <w:gridCol w:w="340"/>
      </w:tblGrid>
      <w:tr w:rsidR="008425AE"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9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  <w:tc>
          <w:tcPr>
            <w:tcW w:w="340" w:type="dxa"/>
            <w:shd w:val="clear" w:color="auto" w:fill="auto"/>
          </w:tcPr>
          <w:p w:rsidR="008425AE" w:rsidRDefault="008425AE">
            <w:pPr>
              <w:pStyle w:val="ConsPlusNormal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</w:pP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</w:pPr>
          </w:p>
        </w:tc>
        <w:tc>
          <w:tcPr>
            <w:tcW w:w="4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2022 г. 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2024  г.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2026 г.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rPr>
          <w:trHeight w:val="314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Программа Петровского городского округа Ставропольского края «Модернизация экономики и улучшение инвестиционного климата»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1240,00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1248,00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1256,00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1283,00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1294,00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1335,00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. предусмотренные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отделу стратегического планирования и инвестиций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отдел сельского хозяйства и охраны окружающей среды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</w:rPr>
              <w:t>налоговые расходы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бюджет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Формирование инвестиционной привлекательности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eastAsia="Cambria" w:hAnsi="Times New Roman" w:cs="Times New Roman"/>
                <w:szCs w:val="22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II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участников программы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" w:name="__DdeLink__4131_20160175"/>
            <w:r>
              <w:rPr>
                <w:rFonts w:ascii="Times New Roman" w:hAnsi="Times New Roman"/>
                <w:color w:val="000000"/>
              </w:rPr>
              <w:t>0,0</w:t>
            </w:r>
            <w:bookmarkEnd w:id="2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3" w:name="__DdeLink__4131_201601751"/>
            <w:r>
              <w:rPr>
                <w:rFonts w:ascii="Times New Roman" w:hAnsi="Times New Roman"/>
                <w:color w:val="000000"/>
              </w:rPr>
              <w:t>0,0</w:t>
            </w:r>
            <w:bookmarkEnd w:id="3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4" w:name="__DdeLink__4131_201601752"/>
            <w:r>
              <w:rPr>
                <w:rFonts w:ascii="Times New Roman" w:hAnsi="Times New Roman"/>
                <w:color w:val="000000"/>
              </w:rPr>
              <w:t>0,0</w:t>
            </w:r>
            <w:bookmarkEnd w:id="4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5" w:name="__DdeLink__4131_201601753"/>
            <w:r>
              <w:rPr>
                <w:rFonts w:ascii="Times New Roman" w:hAnsi="Times New Roman"/>
                <w:color w:val="000000"/>
              </w:rPr>
              <w:t>0,0</w:t>
            </w:r>
            <w:bookmarkEnd w:id="5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6" w:name="__DdeLink__4131_2016017531"/>
            <w:r>
              <w:rPr>
                <w:rFonts w:ascii="Times New Roman" w:hAnsi="Times New Roman"/>
                <w:color w:val="000000"/>
              </w:rPr>
              <w:t>0,0</w:t>
            </w:r>
            <w:bookmarkEnd w:id="6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7" w:name="__DdeLink__4131_2016017534"/>
            <w:r>
              <w:rPr>
                <w:rFonts w:ascii="Times New Roman" w:hAnsi="Times New Roman"/>
                <w:color w:val="000000"/>
              </w:rPr>
              <w:t>0,0</w:t>
            </w:r>
            <w:bookmarkEnd w:id="7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8" w:name="__DdeLink__4131_201601756"/>
            <w:r>
              <w:rPr>
                <w:rFonts w:ascii="Times New Roman" w:hAnsi="Times New Roman"/>
                <w:color w:val="000000"/>
              </w:rPr>
              <w:t>0,0</w:t>
            </w:r>
            <w:bookmarkEnd w:id="8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9" w:name="__DdeLink__4131_201601757"/>
            <w:r>
              <w:rPr>
                <w:rFonts w:ascii="Times New Roman" w:hAnsi="Times New Roman"/>
                <w:color w:val="000000"/>
              </w:rPr>
              <w:t>0,0</w:t>
            </w:r>
            <w:bookmarkEnd w:id="9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0" w:name="__DdeLink__4131_201601758"/>
            <w:r>
              <w:rPr>
                <w:rFonts w:ascii="Times New Roman" w:hAnsi="Times New Roman"/>
                <w:color w:val="000000"/>
              </w:rPr>
              <w:t>0,0</w:t>
            </w:r>
            <w:bookmarkEnd w:id="10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1" w:name="__DdeLink__4131_2016017532"/>
            <w:r>
              <w:rPr>
                <w:rFonts w:ascii="Times New Roman" w:hAnsi="Times New Roman"/>
                <w:color w:val="000000"/>
              </w:rPr>
              <w:t>0,0</w:t>
            </w:r>
            <w:bookmarkEnd w:id="11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2" w:name="__DdeLink__4131_2016017533"/>
            <w:r>
              <w:rPr>
                <w:rFonts w:ascii="Times New Roman" w:hAnsi="Times New Roman"/>
                <w:color w:val="000000"/>
              </w:rPr>
              <w:t>0,0</w:t>
            </w:r>
            <w:bookmarkEnd w:id="12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3" w:name="__DdeLink__4131_2016017535"/>
            <w:r>
              <w:rPr>
                <w:rFonts w:ascii="Times New Roman" w:hAnsi="Times New Roman"/>
                <w:color w:val="000000"/>
              </w:rPr>
              <w:t>0,0</w:t>
            </w:r>
            <w:bookmarkEnd w:id="13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bookmarkStart w:id="14" w:name="__DdeLink__5851_1991387905"/>
            <w:r>
              <w:rPr>
                <w:rFonts w:ascii="Times New Roman" w:hAnsi="Times New Roman"/>
                <w:color w:val="000000"/>
              </w:rPr>
              <w:t>0,00</w:t>
            </w:r>
            <w:bookmarkEnd w:id="14"/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5" w:name="__DdeLink__4131_2016017512"/>
            <w:r>
              <w:rPr>
                <w:rFonts w:ascii="Times New Roman" w:hAnsi="Times New Roman"/>
                <w:color w:val="000000"/>
              </w:rPr>
              <w:t>0,0</w:t>
            </w:r>
            <w:bookmarkEnd w:id="15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6" w:name="__DdeLink__4131_2016017514"/>
            <w:r>
              <w:rPr>
                <w:rFonts w:ascii="Times New Roman" w:hAnsi="Times New Roman"/>
                <w:color w:val="000000"/>
              </w:rPr>
              <w:t>0,0</w:t>
            </w:r>
            <w:bookmarkEnd w:id="16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7" w:name="__DdeLink__4131_2016017516"/>
            <w:r>
              <w:rPr>
                <w:rFonts w:ascii="Times New Roman" w:hAnsi="Times New Roman"/>
                <w:color w:val="000000"/>
              </w:rPr>
              <w:t>0,0</w:t>
            </w:r>
            <w:bookmarkEnd w:id="17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8" w:name="__DdeLink__4131_2016017536"/>
            <w:r>
              <w:rPr>
                <w:rFonts w:ascii="Times New Roman" w:hAnsi="Times New Roman"/>
                <w:color w:val="000000"/>
              </w:rPr>
              <w:t>0,0</w:t>
            </w:r>
            <w:bookmarkEnd w:id="18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9" w:name="__DdeLink__4131_2016017537"/>
            <w:r>
              <w:rPr>
                <w:rFonts w:ascii="Times New Roman" w:hAnsi="Times New Roman"/>
                <w:color w:val="000000"/>
              </w:rPr>
              <w:t>0,0</w:t>
            </w:r>
            <w:bookmarkEnd w:id="19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0" w:name="__DdeLink__4131_2016017538"/>
            <w:r>
              <w:rPr>
                <w:rFonts w:ascii="Times New Roman" w:hAnsi="Times New Roman"/>
                <w:color w:val="000000"/>
              </w:rPr>
              <w:t>0,0</w:t>
            </w:r>
            <w:bookmarkEnd w:id="20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1" w:name="__DdeLink__4131_2016017513"/>
            <w:r>
              <w:rPr>
                <w:rFonts w:ascii="Times New Roman" w:hAnsi="Times New Roman"/>
                <w:color w:val="000000"/>
              </w:rPr>
              <w:t>0,0</w:t>
            </w:r>
            <w:bookmarkEnd w:id="21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2" w:name="__DdeLink__4131_2016017515"/>
            <w:r>
              <w:rPr>
                <w:rFonts w:ascii="Times New Roman" w:hAnsi="Times New Roman"/>
                <w:color w:val="000000"/>
              </w:rPr>
              <w:t>0,0</w:t>
            </w:r>
            <w:bookmarkEnd w:id="22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3" w:name="__DdeLink__4131_2016017517"/>
            <w:r>
              <w:rPr>
                <w:rFonts w:ascii="Times New Roman" w:hAnsi="Times New Roman"/>
                <w:color w:val="000000"/>
              </w:rPr>
              <w:t>0,0</w:t>
            </w:r>
            <w:bookmarkEnd w:id="23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4" w:name="__DdeLink__4131_2016017539"/>
            <w:r>
              <w:rPr>
                <w:rFonts w:ascii="Times New Roman" w:hAnsi="Times New Roman"/>
                <w:color w:val="000000"/>
              </w:rPr>
              <w:t>0,0</w:t>
            </w:r>
            <w:bookmarkEnd w:id="24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5" w:name="__DdeLink__4131_20160175310"/>
            <w:r>
              <w:rPr>
                <w:rFonts w:ascii="Times New Roman" w:hAnsi="Times New Roman"/>
                <w:color w:val="000000"/>
              </w:rPr>
              <w:t>0,0</w:t>
            </w:r>
            <w:bookmarkEnd w:id="25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6" w:name="__DdeLink__4131_20160175311"/>
            <w:r>
              <w:rPr>
                <w:rFonts w:ascii="Times New Roman" w:hAnsi="Times New Roman"/>
                <w:color w:val="000000"/>
              </w:rPr>
              <w:t>0,0</w:t>
            </w:r>
            <w:bookmarkEnd w:id="26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</w:t>
            </w:r>
            <w:r>
              <w:rPr>
                <w:rFonts w:ascii="Times New Roman" w:hAnsi="Times New Roman" w:cs="Times New Roman"/>
                <w:color w:val="070707"/>
                <w:sz w:val="20"/>
                <w:szCs w:val="20"/>
              </w:rPr>
              <w:t>действующим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III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IV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Подпрограмма «Обеспечение реализации муниципальной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>программы Петровского городского округа Ставропольского края «Модернизация экономики и улучшение инвестиционного климата» и общепрограммные мероприятия»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lastRenderedPageBreak/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133B80">
            <w:pPr>
              <w:pStyle w:val="af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</w:tr>
    </w:tbl>
    <w:p w:rsidR="008425AE" w:rsidRDefault="008425AE">
      <w:pPr>
        <w:shd w:val="clear" w:color="auto" w:fill="FFFFFF"/>
        <w:spacing w:before="5" w:after="0" w:line="240" w:lineRule="exact"/>
        <w:jc w:val="both"/>
      </w:pPr>
    </w:p>
    <w:sectPr w:rsidR="008425AE">
      <w:pgSz w:w="16838" w:h="11906" w:orient="landscape"/>
      <w:pgMar w:top="1134" w:right="567" w:bottom="1134" w:left="198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3054"/>
    <w:multiLevelType w:val="multilevel"/>
    <w:tmpl w:val="A882E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5AE"/>
    <w:rsid w:val="00133B80"/>
    <w:rsid w:val="00147CC4"/>
    <w:rsid w:val="008425AE"/>
    <w:rsid w:val="00A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текст 2 Знак"/>
    <w:basedOn w:val="a2"/>
    <w:link w:val="2"/>
    <w:qFormat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2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6">
    <w:name w:val="Нижний колонтитул Знак"/>
    <w:basedOn w:val="a2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7">
    <w:name w:val="Текст выноски Знак"/>
    <w:basedOn w:val="a2"/>
    <w:uiPriority w:val="99"/>
    <w:semiHidden/>
    <w:qFormat/>
    <w:rsid w:val="007328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2"/>
    <w:qFormat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39">
    <w:name w:val="ListLabel 139"/>
    <w:qFormat/>
    <w:rPr>
      <w:rFonts w:eastAsia="Times New Roman" w:cs="Times New Roman"/>
      <w:color w:val="auto"/>
      <w:sz w:val="27"/>
      <w:szCs w:val="27"/>
      <w:u w:val="none"/>
      <w:lang w:eastAsia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40">
    <w:name w:val="ListLabel 140"/>
    <w:qFormat/>
    <w:rPr>
      <w:color w:val="010101"/>
      <w:sz w:val="27"/>
      <w:szCs w:val="27"/>
      <w:lang w:val="ru-RU"/>
    </w:rPr>
  </w:style>
  <w:style w:type="character" w:customStyle="1" w:styleId="ListLabel141">
    <w:name w:val="ListLabel 141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2">
    <w:name w:val="ListLabel 142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4">
    <w:name w:val="ListLabel 144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6">
    <w:name w:val="ListLabel 146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8">
    <w:name w:val="ListLabel 148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9">
    <w:name w:val="ListLabel 149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50">
    <w:name w:val="ListLabel 150"/>
    <w:qFormat/>
    <w:rPr>
      <w:rFonts w:ascii="Times New Roman" w:hAnsi="Times New Roman"/>
      <w:color w:val="010101"/>
      <w:sz w:val="28"/>
      <w:szCs w:val="28"/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154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No Spacing"/>
    <w:uiPriority w:val="1"/>
    <w:qFormat/>
    <w:rsid w:val="00C15410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C1541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eastAsia="Times New Roman" w:cs="Calibri"/>
      <w:b/>
      <w:sz w:val="22"/>
      <w:szCs w:val="20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table" w:styleId="af2">
    <w:name w:val="Table Grid"/>
    <w:basedOn w:val="a3"/>
    <w:uiPriority w:val="59"/>
    <w:rsid w:val="005E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E0D785F9CBEF9849A1C04554A712C09B5615B1520482E41E14A8C6D645E9E1E9BBE3FEF1BB57ECA1A2585D1AFF99B557E0F6B8D58F5EC6A58984CJElE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45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1A1-A6AF-4108-B58D-FC48484A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user</cp:lastModifiedBy>
  <cp:revision>83</cp:revision>
  <cp:lastPrinted>2021-02-19T07:06:00Z</cp:lastPrinted>
  <dcterms:created xsi:type="dcterms:W3CDTF">2019-09-16T11:07:00Z</dcterms:created>
  <dcterms:modified xsi:type="dcterms:W3CDTF">2021-02-19T12:31:00Z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