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95"/>
        <w:gridCol w:w="5243"/>
      </w:tblGrid>
      <w:tr>
        <w:trPr>
          <w:trHeight w:val="283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4</w:t>
            </w:r>
          </w:p>
        </w:tc>
      </w:tr>
      <w:tr>
        <w:trPr>
          <w:trHeight w:val="969" w:hRule="atLeast"/>
        </w:trPr>
        <w:tc>
          <w:tcPr>
            <w:tcW w:w="4395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</w:t>
      </w:r>
      <w:hyperlink r:id="rId2">
        <w:r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Петровского городского округа Ставропольского края от 19 июня 2019 г. №1310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соответствие его антимонопольному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 бумажном носителе почтой по адресу: 356530 Ставропольский край Петровский район г. Светлоград пл.50 лет Октября, 8;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на электронную почту: </w:t>
      </w:r>
      <w:r>
        <w:rPr>
          <w:rFonts w:cs="Times New Roman" w:ascii="Times New Roman" w:hAnsi="Times New Roman"/>
          <w:sz w:val="28"/>
          <w:szCs w:val="28"/>
          <w:lang w:val="en-US"/>
        </w:rPr>
        <w:t>adm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petrgosk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 факсу: 886547 4-10-76.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Сроки приема предложений и замечаний: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08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.2022 по 1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.2022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cs="Times New Roman" w:ascii="Times New Roman" w:hAnsi="Times New Roman"/>
          <w:sz w:val="28"/>
          <w:szCs w:val="28"/>
        </w:rPr>
        <w:t>http://petrgosk.ru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Times New Roman" w:cs="Times New Roman" w:ascii="Times New Roman" w:hAnsi="Times New Roman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>.2022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Анкета для участников публичных консультаций.</w:t>
      </w:r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>
        <w:rPr>
          <w:rFonts w:eastAsia="Calibri" w:cs="Arial" w:ascii="Times New Roman" w:hAnsi="Times New Roman"/>
          <w:bCs/>
          <w:color w:val="000000" w:themeColor="text1"/>
          <w:sz w:val="28"/>
          <w:szCs w:val="28"/>
          <w:shd w:fill="FFFFFF" w:val="clear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3">
        <w:r>
          <w:rPr>
            <w:rFonts w:ascii="Times New Roman" w:hAnsi="Times New Roman"/>
            <w:sz w:val="28"/>
            <w:szCs w:val="28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администрации Петровского городского округа Ставропольского края от 19 июня 2019 г. №1310</w:t>
      </w:r>
      <w:hyperlink r:id="rId4">
        <w:r>
          <w:rPr>
            <w:rFonts w:eastAsia="Times New Roman" w:cs="Times New Roman" w:ascii="Times New Roman" w:hAnsi="Times New Roman"/>
            <w:sz w:val="28"/>
            <w:szCs w:val="28"/>
          </w:rPr>
          <w:t>».</w:t>
        </w:r>
      </w:hyperlink>
    </w:p>
    <w:p>
      <w:pPr>
        <w:pStyle w:val="Style17"/>
        <w:spacing w:lineRule="auto" w:line="240" w:before="0" w:after="0"/>
        <w:ind w:right="-284"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Куницын Иван Сергеевич, заместитель начальника отдела жилищного учета, строительства и муниципального контроля администрации Петровского городского округа Ставропольского края.</w:t>
      </w:r>
    </w:p>
    <w:p>
      <w:pPr>
        <w:pStyle w:val="Normal"/>
        <w:tabs>
          <w:tab w:val="clear" w:pos="708"/>
          <w:tab w:val="left" w:pos="-4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r:id="rId5">
        <w:r>
          <w:rPr>
            <w:rFonts w:eastAsia="Times New Roman" w:cs="Times New Roman" w:ascii="Times New Roman" w:hAnsi="Times New Roman"/>
            <w:sz w:val="28"/>
            <w:szCs w:val="28"/>
          </w:rPr>
          <w:t xml:space="preserve">Тел./факс </w:t>
        </w:r>
        <w:r>
          <w:rPr>
            <w:rFonts w:cs="Times New Roman" w:ascii="Times New Roman" w:hAnsi="Times New Roman"/>
            <w:sz w:val="28"/>
            <w:szCs w:val="28"/>
          </w:rPr>
          <w:t>т. 8(86547)4-32-52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6">
        <w:r>
          <w:rPr/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f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02fa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uiPriority w:val="99"/>
    <w:qFormat/>
    <w:rsid w:val="00702fa1"/>
    <w:rPr>
      <w:rFonts w:eastAsia="" w:eastAsiaTheme="minorEastAsia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link w:val="a5"/>
    <w:uiPriority w:val="99"/>
    <w:unhideWhenUsed/>
    <w:rsid w:val="00702fa1"/>
    <w:pPr>
      <w:spacing w:before="0" w:after="12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98824B604544264ABD95CC5EEFBBA3591A938F5967030D72FD012FC240CBF65126DCA58151FEBB58ABA1ED7AF73A29D9CF9AFA02A3D5605MEU8G" TargetMode="External"/><Relationship Id="rId3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4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5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6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LibreOffice/7.1.3.2$Linux_X86_64 LibreOffice_project/10$Build-2</Application>
  <AppVersion>15.0000</AppVersion>
  <Pages>2</Pages>
  <Words>369</Words>
  <Characters>2939</Characters>
  <CharactersWithSpaces>3289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2020-05-29T12:36:00Z</dcterms:created>
  <dc:creator>вася пупкин</dc:creator>
  <dc:description/>
  <dc:language>ru-RU</dc:language>
  <cp:lastModifiedBy/>
  <cp:lastPrinted>2022-06-06T17:20:09Z</cp:lastPrinted>
  <dcterms:modified xsi:type="dcterms:W3CDTF">2022-06-06T17:19:30Z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