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9E0F34" w:rsidRPr="009E0F34">
        <w:rPr>
          <w:sz w:val="26"/>
          <w:szCs w:val="28"/>
        </w:rPr>
        <w:t>О 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295E62">
        <w:rPr>
          <w:sz w:val="26"/>
          <w:szCs w:val="28"/>
        </w:rPr>
        <w:t>1</w:t>
      </w:r>
      <w:r w:rsidR="007E2130">
        <w:rPr>
          <w:sz w:val="26"/>
          <w:szCs w:val="28"/>
        </w:rPr>
        <w:t>2</w:t>
      </w:r>
      <w:r w:rsidR="009E0F34">
        <w:rPr>
          <w:sz w:val="26"/>
          <w:szCs w:val="28"/>
        </w:rPr>
        <w:t xml:space="preserve"> декабря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295E62">
        <w:rPr>
          <w:sz w:val="26"/>
          <w:szCs w:val="28"/>
        </w:rPr>
        <w:t>1</w:t>
      </w:r>
      <w:r w:rsidR="007E2130">
        <w:rPr>
          <w:sz w:val="26"/>
          <w:szCs w:val="28"/>
        </w:rPr>
        <w:t>6</w:t>
      </w:r>
      <w:bookmarkStart w:id="0" w:name="_GoBack"/>
      <w:bookmarkEnd w:id="0"/>
      <w:r w:rsidR="009E0F34">
        <w:rPr>
          <w:sz w:val="26"/>
          <w:szCs w:val="28"/>
        </w:rPr>
        <w:t xml:space="preserve"> декабря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295E62">
        <w:rPr>
          <w:sz w:val="26"/>
          <w:szCs w:val="28"/>
        </w:rPr>
        <w:t>1</w:t>
      </w:r>
      <w:r w:rsidR="009E0F34">
        <w:rPr>
          <w:sz w:val="26"/>
          <w:szCs w:val="28"/>
        </w:rPr>
        <w:t>9 декабря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9E0F34" w:rsidRPr="009E0F34">
        <w:rPr>
          <w:sz w:val="26"/>
          <w:szCs w:val="28"/>
        </w:rPr>
        <w:t>О 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295E62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5E62" w:rsidRDefault="00295E62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42281"/>
    <w:rsid w:val="00150ECC"/>
    <w:rsid w:val="00184E2F"/>
    <w:rsid w:val="001C76AA"/>
    <w:rsid w:val="00234C43"/>
    <w:rsid w:val="00295E62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C4F"/>
    <w:rsid w:val="007E2130"/>
    <w:rsid w:val="009120E2"/>
    <w:rsid w:val="009A6221"/>
    <w:rsid w:val="009E0F34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31</cp:revision>
  <cp:lastPrinted>2022-12-12T02:52:00Z</cp:lastPrinted>
  <dcterms:created xsi:type="dcterms:W3CDTF">2020-03-11T13:35:00Z</dcterms:created>
  <dcterms:modified xsi:type="dcterms:W3CDTF">2022-12-12T02:56:00Z</dcterms:modified>
</cp:coreProperties>
</file>