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21" w:rsidRDefault="00052EFB" w:rsidP="00052EFB">
      <w:pPr>
        <w:pStyle w:val="1"/>
        <w:tabs>
          <w:tab w:val="center" w:pos="4677"/>
          <w:tab w:val="left" w:pos="7603"/>
          <w:tab w:val="left" w:pos="8127"/>
        </w:tabs>
        <w:jc w:val="lef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ab/>
      </w: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  <w:r>
        <w:rPr>
          <w:b/>
          <w:bCs/>
          <w:color w:val="000000" w:themeColor="text1"/>
          <w:sz w:val="32"/>
          <w:szCs w:val="32"/>
        </w:rPr>
        <w:tab/>
        <w:t>ПРОЕКТ</w:t>
      </w:r>
      <w:r>
        <w:rPr>
          <w:b/>
          <w:bCs/>
          <w:color w:val="000000" w:themeColor="text1"/>
          <w:sz w:val="32"/>
          <w:szCs w:val="32"/>
        </w:rPr>
        <w:tab/>
      </w:r>
    </w:p>
    <w:p w:rsidR="00687A21" w:rsidRDefault="00052E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АДМИНИСТРАЦИИ ПЕТРОВСКОГО ГОРОДСКОГО ОКРУГА</w:t>
      </w:r>
    </w:p>
    <w:p w:rsidR="00687A21" w:rsidRDefault="00052E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687A21" w:rsidRDefault="00687A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687A21">
        <w:trPr>
          <w:trHeight w:val="210"/>
        </w:trPr>
        <w:tc>
          <w:tcPr>
            <w:tcW w:w="3407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687A21" w:rsidRDefault="00052E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687A21" w:rsidRDefault="00687A2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87A21" w:rsidRDefault="00687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87A21" w:rsidRDefault="00687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87A21" w:rsidRDefault="00052EFB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</w:t>
      </w:r>
      <w:r>
        <w:rPr>
          <w:color w:val="000000" w:themeColor="text1"/>
        </w:rPr>
        <w:t xml:space="preserve">уга Ставропольского края от 20 марта 2019 г.          № 688 </w:t>
      </w:r>
    </w:p>
    <w:p w:rsidR="00687A21" w:rsidRDefault="00687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87A21" w:rsidRDefault="00052EFB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687A21" w:rsidRDefault="00687A2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87A21" w:rsidRDefault="00052EF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687A21" w:rsidRDefault="00687A21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87A21" w:rsidRDefault="00052EFB">
      <w:pPr>
        <w:pStyle w:val="ConsPlusNormal"/>
        <w:ind w:firstLine="709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Внести изменения в </w:t>
      </w:r>
      <w:r>
        <w:rPr>
          <w:color w:val="000000" w:themeColor="text1"/>
        </w:rPr>
        <w:t xml:space="preserve">состав межведомственной рабочей группы по профилактике нарушений трудовых прав работников в организациях, </w:t>
      </w:r>
      <w:proofErr w:type="gramStart"/>
      <w:r>
        <w:rPr>
          <w:color w:val="000000" w:themeColor="text1"/>
        </w:rPr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</w:t>
      </w:r>
      <w:r>
        <w:rPr>
          <w:color w:val="000000" w:themeColor="text1"/>
        </w:rPr>
        <w:t xml:space="preserve">а Ставропольского края от 20 марта 2019 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края»          </w:t>
      </w:r>
      <w:r>
        <w:rPr>
          <w:color w:val="000000" w:themeColor="text1"/>
        </w:rPr>
        <w:t xml:space="preserve">     (в редакции от 14 мая 2019 г. № 1055, от 18 января 2021 г. № 33, от 15 декабря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2021 г. № 1963, от 01 февраля 2022 г. № 93, от 22 июня 2022 г. № 946), изложив его в прилагаемой редакции.</w:t>
      </w:r>
      <w:proofErr w:type="gramEnd"/>
    </w:p>
    <w:p w:rsidR="00687A21" w:rsidRDefault="00687A21">
      <w:pPr>
        <w:pStyle w:val="ConsPlusNormal"/>
        <w:ind w:firstLine="709"/>
        <w:jc w:val="both"/>
        <w:rPr>
          <w:color w:val="000000" w:themeColor="text1"/>
        </w:rPr>
      </w:pPr>
    </w:p>
    <w:p w:rsidR="00687A21" w:rsidRDefault="00052EFB">
      <w:pPr>
        <w:pStyle w:val="af0"/>
        <w:ind w:left="0" w:firstLine="709"/>
        <w:jc w:val="both"/>
        <w:rPr>
          <w:rFonts w:eastAsiaTheme="minorEastAsia"/>
          <w:szCs w:val="28"/>
          <w:lang w:eastAsia="ru-RU"/>
        </w:rPr>
      </w:pPr>
      <w:r>
        <w:rPr>
          <w:color w:val="000000" w:themeColor="text1"/>
        </w:rPr>
        <w:t xml:space="preserve">2. </w:t>
      </w:r>
      <w:r>
        <w:rPr>
          <w:rFonts w:eastAsiaTheme="minorEastAsia"/>
          <w:szCs w:val="28"/>
          <w:lang w:eastAsia="ru-RU"/>
        </w:rPr>
        <w:t>Признать утратившими силу постановления администрации Петровс</w:t>
      </w:r>
      <w:r>
        <w:rPr>
          <w:rFonts w:eastAsiaTheme="minorEastAsia"/>
          <w:szCs w:val="28"/>
          <w:lang w:eastAsia="ru-RU"/>
        </w:rPr>
        <w:t>кого городского округа Ставропольского края:</w:t>
      </w:r>
    </w:p>
    <w:p w:rsidR="00687A21" w:rsidRDefault="00052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мая 2019 г. № 1055 «О внесении изменений в состав межведомственной рабочей группы по профилактике нарушений трудовых прав работников организациях, расположенных на территории 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края, утвержденный постановлением администрации Петровского городского округа Ставропольского края от 20 марта 2019 г. № 688;</w:t>
      </w:r>
    </w:p>
    <w:p w:rsidR="00687A21" w:rsidRDefault="00052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18 января 2021 г. № 33 «О внесении изменений в состав межведомственной рабочей группы по профилактике нарушений</w:t>
      </w:r>
      <w:r>
        <w:rPr>
          <w:rFonts w:ascii="Times New Roman" w:hAnsi="Times New Roman" w:cs="Times New Roman"/>
          <w:sz w:val="28"/>
          <w:szCs w:val="28"/>
        </w:rPr>
        <w:t xml:space="preserve"> трудовых прав работников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 (в редакции от 14</w:t>
      </w:r>
      <w:r>
        <w:rPr>
          <w:rFonts w:ascii="Times New Roman" w:hAnsi="Times New Roman" w:cs="Times New Roman"/>
          <w:sz w:val="28"/>
          <w:szCs w:val="28"/>
        </w:rPr>
        <w:t xml:space="preserve"> мая 2019 г. № 1055)»;</w:t>
      </w:r>
      <w:proofErr w:type="gramEnd"/>
    </w:p>
    <w:p w:rsidR="00687A21" w:rsidRDefault="00052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15 декабря 2021 г. № 1963 «О внесении изменений в состав межведомственной рабочей группы по профилактике нарушений трудовых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 работников организациях, расположенных на территории Петровского городского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ая, утвержденный постановлением администрации Петровского городского округа Ставропольского края от 20 марта 2019 г. № 688 (в редакции от 14 мая 2019 г. № 1055, от 18 января 2021 г. № 33)»;</w:t>
      </w:r>
      <w:proofErr w:type="gramEnd"/>
    </w:p>
    <w:p w:rsidR="00687A21" w:rsidRDefault="00052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февраля 2022 г. № 93 «О внесении изменений в состав межведом</w:t>
      </w:r>
      <w:r>
        <w:rPr>
          <w:rFonts w:ascii="Times New Roman" w:hAnsi="Times New Roman" w:cs="Times New Roman"/>
          <w:sz w:val="28"/>
          <w:szCs w:val="28"/>
        </w:rPr>
        <w:t>ственной рабочей группы по профилактике нарушений трудовых прав работников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20 марта 2019 г. № 688»;</w:t>
      </w:r>
    </w:p>
    <w:p w:rsidR="00687A21" w:rsidRDefault="00052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июня 2022 г. № 946 «О внесении изменений в состав межведомственной рабочей группы по профилактике нарушений трудовых прав работников организациях, расположенных на территории Петровского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края, утвержденный постановлением администрации Петровского городского округа Ставропольского края от 20 марта 2019 г. № 688».</w:t>
      </w:r>
    </w:p>
    <w:p w:rsidR="00687A21" w:rsidRDefault="00687A21">
      <w:pPr>
        <w:pStyle w:val="ConsPlusNormal"/>
        <w:jc w:val="both"/>
        <w:rPr>
          <w:color w:val="000000" w:themeColor="text1"/>
        </w:rPr>
      </w:pPr>
    </w:p>
    <w:p w:rsidR="00687A21" w:rsidRDefault="00052E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«О внесении изменений в состав межведомственной рабочей группы по профилактике нарушений трудовы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 марта 2019 г. № 688» вступает в силу со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подписания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687A21" w:rsidRDefault="00687A2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A21" w:rsidRDefault="00687A2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главы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первый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–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муниципального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администрации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687A21" w:rsidRDefault="00052EF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А.И.Бабыкин</w:t>
      </w:r>
      <w:proofErr w:type="spellEnd"/>
    </w:p>
    <w:p w:rsidR="00687A21" w:rsidRDefault="00687A2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A21" w:rsidRDefault="00687A2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52EFB" w:rsidRDefault="00052EF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687A21">
        <w:tc>
          <w:tcPr>
            <w:tcW w:w="5210" w:type="dxa"/>
          </w:tcPr>
          <w:p w:rsidR="00687A21" w:rsidRDefault="00687A2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7A21" w:rsidRDefault="00052E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687A21">
        <w:tc>
          <w:tcPr>
            <w:tcW w:w="5210" w:type="dxa"/>
          </w:tcPr>
          <w:p w:rsidR="00687A21" w:rsidRDefault="00687A2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7A21" w:rsidRDefault="00052EFB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Петровского городского округа</w:t>
            </w:r>
          </w:p>
          <w:p w:rsidR="00687A21" w:rsidRDefault="00052E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687A21">
        <w:tc>
          <w:tcPr>
            <w:tcW w:w="5210" w:type="dxa"/>
          </w:tcPr>
          <w:p w:rsidR="00687A21" w:rsidRDefault="00687A2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7A21" w:rsidRDefault="00052E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марта 2019 г. № 688</w:t>
            </w:r>
          </w:p>
          <w:p w:rsidR="00687A21" w:rsidRDefault="00052E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ред. от ____№____)</w:t>
            </w:r>
          </w:p>
        </w:tc>
      </w:tr>
    </w:tbl>
    <w:p w:rsidR="00687A21" w:rsidRDefault="00687A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87A21" w:rsidRDefault="00687A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87A21" w:rsidRDefault="00052E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87A21" w:rsidRDefault="00052E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рабочей группы по </w:t>
      </w:r>
      <w:r>
        <w:rPr>
          <w:rFonts w:ascii="Times New Roman" w:hAnsi="Times New Roman"/>
          <w:sz w:val="28"/>
          <w:szCs w:val="28"/>
        </w:rPr>
        <w:t>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</w:p>
    <w:p w:rsidR="00687A21" w:rsidRDefault="00687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084"/>
        <w:gridCol w:w="6429"/>
      </w:tblGrid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Сухомлинова Вера</w:t>
            </w: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– начальник финансового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Петровского городского округа Ставропольского края, руководитель рабочей группы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Ковтун Владимир Борисович</w:t>
            </w: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- начальник отдела сельского хозяйства и охраны окружающей среды администрации Петровского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 Ставропольского края, заместитель руководителя рабочей группы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Лариса Сергеевна</w:t>
            </w: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</w:t>
            </w:r>
            <w:r>
              <w:rPr>
                <w:rFonts w:ascii="Times New Roman" w:hAnsi="Times New Roman"/>
                <w:sz w:val="28"/>
                <w:szCs w:val="28"/>
              </w:rPr>
              <w:t>арь рабочей группы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9512" w:type="dxa"/>
            <w:gridSpan w:val="2"/>
          </w:tcPr>
          <w:p w:rsidR="00687A21" w:rsidRDefault="00052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687A21" w:rsidRDefault="00687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Васюков Станислав Михайлович</w:t>
            </w: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Кочерга Ирина</w:t>
            </w: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урегулирования задолженности и обеспечения процедур банкротства Межрайонной инспекции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Федеральной налоговой службы России № 3 по Ставропольскому краю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камеральных проверок № 2 Межрайонной инспекции Федеральной налоговой службы России № 3 по Ставропольскому краю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онтрольно - счетной палаты Петровского городского округа Ставропольского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Малахова Наталья Витальевна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Марина</w:t>
            </w: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Елена Стефановна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Мишура Николай Александрович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Александр Николаевич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Островерхов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Викторович 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Портянко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Викторович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Иванович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Ивановна 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труда управления труда и социальной защиты населения администрации Петровского городского округа Ставропольского края 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– старший судебный пристав Петровского районного отдела управления Федеральной службы судебных приставов по Ставропольскому краю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финансового управления администрации Петровского городского округа С</w:t>
            </w:r>
            <w:r>
              <w:rPr>
                <w:rFonts w:ascii="Times New Roman" w:hAnsi="Times New Roman"/>
                <w:sz w:val="28"/>
                <w:szCs w:val="28"/>
              </w:rPr>
              <w:t>тавропольского края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сельского хозяйства и охраны окружающей среды администрации Петровского городского окр</w:t>
            </w:r>
            <w:r>
              <w:rPr>
                <w:rFonts w:ascii="Times New Roman" w:hAnsi="Times New Roman"/>
                <w:sz w:val="28"/>
                <w:szCs w:val="28"/>
              </w:rPr>
              <w:t>уга Ставропольского края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отделения экономической безопасности и противодействия коррупции, майор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полиции отдела Министерства внутренних дел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Петровскому городскому округу, 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–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 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делам территорий  администрации Петровского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Петровского городского округа Ставропольского края 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Суржа Раиса</w:t>
            </w: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филиала № 3 регионального отделения Фонда социального страхования Российской Федерации (по согласованию)</w:t>
            </w: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Устинов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 Сергеевич </w:t>
            </w: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6428" w:type="dxa"/>
          </w:tcPr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«Центр занятости населения Петровского района» (по согласованию)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A21" w:rsidRDefault="00052E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развития предпринимательства, торговли и потребительского рынка администрации Петровского городского округа Ставропольского края </w:t>
            </w:r>
          </w:p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1">
        <w:tc>
          <w:tcPr>
            <w:tcW w:w="3084" w:type="dxa"/>
          </w:tcPr>
          <w:p w:rsidR="00687A21" w:rsidRDefault="00687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687A21" w:rsidRDefault="00687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A21" w:rsidRDefault="00052EFB">
      <w:pPr>
        <w:spacing w:after="0" w:line="240" w:lineRule="exact"/>
        <w:ind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687A21" w:rsidRDefault="00052E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городского округа</w:t>
      </w:r>
    </w:p>
    <w:p w:rsidR="00687A21" w:rsidRDefault="00052E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687A21" w:rsidRDefault="00687A21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</w:rPr>
      </w:pPr>
    </w:p>
    <w:sectPr w:rsidR="00687A21">
      <w:pgSz w:w="11906" w:h="16838"/>
      <w:pgMar w:top="1418" w:right="567" w:bottom="85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87A21"/>
    <w:rsid w:val="00052EFB"/>
    <w:rsid w:val="006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1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80DE-10B5-4B27-AE99-E49B2482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1156</Words>
  <Characters>6593</Characters>
  <Application>Microsoft Office Word</Application>
  <DocSecurity>0</DocSecurity>
  <Lines>54</Lines>
  <Paragraphs>15</Paragraphs>
  <ScaleCrop>false</ScaleCrop>
  <Company>Администрация Петровского муниципального района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user</cp:lastModifiedBy>
  <cp:revision>17</cp:revision>
  <cp:lastPrinted>2022-08-12T08:55:00Z</cp:lastPrinted>
  <dcterms:created xsi:type="dcterms:W3CDTF">2022-01-27T10:56:00Z</dcterms:created>
  <dcterms:modified xsi:type="dcterms:W3CDTF">2022-08-12T13:20:00Z</dcterms:modified>
  <dc:language>ru-RU</dc:language>
</cp:coreProperties>
</file>