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</w:p>
    <w:p>
      <w:pPr>
        <w:pStyle w:val="Normal"/>
        <w:spacing w:lineRule="exact" w:line="283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</w:rPr>
        <w:t>о социально-экономическом развитии Петровского городского округа Ставропольского края за первое полугодие 2021 года</w:t>
      </w:r>
    </w:p>
    <w:p>
      <w:pPr>
        <w:pStyle w:val="Normal"/>
        <w:spacing w:lineRule="exact" w:line="283" w:before="0" w:after="0"/>
        <w:jc w:val="center"/>
        <w:rPr>
          <w:rFonts w:ascii="Times New Roman" w:hAnsi="Times New Roman" w:eastAsia="Lucida Sans Unicode" w:cs="Tahoma"/>
          <w:bCs/>
          <w:color w:val="000000"/>
          <w:sz w:val="28"/>
          <w:szCs w:val="28"/>
        </w:rPr>
      </w:pP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 xml:space="preserve">В Петровском городском округе Ставропольского края (далее — округ) осуществляет деятельность 51 крупная и средняя организация (без организаций с численностью работников менее 15 человек). По статистическим данным оборот крупных и средних предприятий, отражающий их коммерческую деятельность, за январь – июнь 2021 года составил </w:t>
      </w:r>
      <w:r>
        <w:rPr>
          <w:rFonts w:eastAsia="Lucida Sans Unicode" w:cs="Tahoma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8534,2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 xml:space="preserve"> млн. рублей при темпе роста 1</w:t>
      </w:r>
      <w:r>
        <w:rPr>
          <w:rFonts w:eastAsia="Lucida Sans Unicode" w:cs="Tahoma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64,5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>% к показателю аналогичного периода 2020 года, н</w:t>
      </w:r>
      <w:r>
        <w:rPr>
          <w:rFonts w:eastAsia="Lucida Sans Unicode" w:cs="Times New Roman" w:ascii="Times New Roman" w:hAnsi="Times New Roman"/>
          <w:bCs/>
          <w:color w:val="000000"/>
          <w:sz w:val="28"/>
          <w:szCs w:val="28"/>
        </w:rPr>
        <w:t xml:space="preserve">а долю промышленности и сельского хозяйства приходится около </w:t>
      </w:r>
      <w:r>
        <w:rPr>
          <w:rFonts w:eastAsia="Lucida Sans Unicode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45,0</w:t>
      </w:r>
      <w:r>
        <w:rPr>
          <w:rFonts w:eastAsia="Lucida Sans Unicode" w:cs="Times New Roman" w:ascii="Times New Roman" w:hAnsi="Times New Roman"/>
          <w:bCs/>
          <w:color w:val="000000"/>
          <w:sz w:val="28"/>
          <w:szCs w:val="28"/>
        </w:rPr>
        <w:t xml:space="preserve">% оборота.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крупных и средних предприятий (далее – товаров собственного производства) в отчетном периоде составил 3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229,9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млн. рублей при темпе роста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91,5</w:t>
      </w:r>
      <w:bookmarkStart w:id="0" w:name="_Hlk519663658"/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>% к показателю за январь-июнь 20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20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 года</w:t>
      </w:r>
      <w:bookmarkEnd w:id="0"/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</w:rPr>
        <w:t>По промышленным видам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 экономической деятельности данный показатель составляет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2913,5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>млн. рублей, что на 175,5 млн. рублей или 5,7% ниже показателя аналогичного периода прошлого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На долю обрабатывающих производств в объеме отгруженных товаров собственного производства промышленных предприятий приходится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47,5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% (в первом полугодии 20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20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года —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56,4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%). Объем продукции, отгруженной обрабатывающими предприятиями, в отчетном периоде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сократился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до 1383,6 млн. рублей, темп роста к показателю прошлого года 79,4%. Сокращение произошло за счет снижения объемов производства пищевых продуктов.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В округе успешно реализуется национальный проект «Производительность труда и поддержка занятости» (далее — национальный проект).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 2019 года участниками национального проекта в округе являются ООО «Хлебороб» и ОАО «Светлоградагромаш». За время участия в проекте на предприятии ОАО «Светлоградагромаш» реорганизована работа участков производства лемехов, переоборудован и оптимизирован процесс производства, закуплено новое оборудование, на 33% сокращено время изготовления деталей. 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Мероприятия проекта реализуются при поддержке Федерального Центра Компетенций.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На территории округа осуществляют деятельность около                    233 сельскохозяйственных предприятий и крестьянских (фермерских) хозяйств.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Посевная площадь сельскохозяйственных культур под урожай 20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 (в хозяйствах всех категорий) составляла 158,5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тыс. гектаров, на долю зерновых и зернобобовых культур приходилось 7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8,8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% всех посевных площадей. По состоянию на 01 июля 2021 года в сельскохозяйственных организациях и К(Ф)Х было собрано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25,5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тыс. тонн зерновых и зернобобовых культур на площади 6,0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тыс. га. По состоянию на 30 июля 2021 года хозяйствами всех категорий собрано 477,7 тыс. тонн зерновых и зернобобовых культур при средней урожайности 39,2 ц/га (в 2020 году 195,5 тыс. тонн при средней урожайности 18,7 ц/га). Технические культуры убраны на площади 2,4 тыс. гектаров, сбор составил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4,1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тыс. тонн.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По оперативным данным в хозяйствах всех категорий на 01 июля 2021 года содержалось: крупного рогатого скота 9,4 </w:t>
      </w:r>
      <w:bookmarkStart w:id="1" w:name="__DdeLink__169_1445205933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тыс. голов,</w:t>
      </w:r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 том числе 5,7 тыс. голов коров дойного стада, свиней 10,2 тыс. голов, овец 13,7 тыс. голов, около 1,6 млн. голов птицы.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течение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 полугодия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2021 года в округе произведено (выращено) мяса скота и птицы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14,9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тыс. тонн, что составляет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103,0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% к показателю прошлого года. Производство молока в сельскохозяйственных организациях увеличилось до 4,3 тыс. тонн при темпе роста к показателю 2020 года 110,8%. Надой на 1 корову дойного стада составил 3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846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килограммов.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По виду экономической деятельности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«строительство»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 отчетном периоде выполнено работ на сумму 42,0 млн. рублей при темпе роста 101,1% к показателю аналогичного периода прошлого года. В ходе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</w:rPr>
        <w:t>нового строительства, расши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рения и реконструкции существующих производственных площадей введены в эксплуатацию станция технического обслуживания автомобилей,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0,2 тыс.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кв. м торговых площадей, предприятие общественного питания на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посадочных мест, общетоварные склады общей площадью 0,1 тыс. кв. м.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 xml:space="preserve">За январь - июнь 2021 года индивидуальными застройщиками </w:t>
      </w:r>
      <w:r>
        <w:rPr>
          <w:rFonts w:eastAsia="Lucida Sans Unicode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введены в эксплуатацию 5813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 xml:space="preserve">кв. м. жилых площадей, что в 1,8 раза больше показателя аналогичного периода 2020 года.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По данным мониторинга инвестиционной деятельности </w:t>
      </w:r>
      <w:r>
        <w:rPr>
          <w:rFonts w:eastAsia="" w:cs="Times New Roman" w:ascii="Times New Roman" w:hAnsi="Times New Roman" w:eastAsiaTheme="minorEastAsia"/>
          <w:b/>
          <w:bCs w:val="false"/>
          <w:color w:val="000000"/>
          <w:sz w:val="28"/>
          <w:szCs w:val="28"/>
        </w:rPr>
        <w:t xml:space="preserve">объем инвестиций в основной капитал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000000"/>
          <w:sz w:val="28"/>
          <w:szCs w:val="28"/>
        </w:rPr>
        <w:t>за исключением бюджетных средств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за первое полугодие 2021 года составил 621,2 млн. рублей или 10,3% к плановому значению показателя.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>По состоянию на 01 июля 2021 года продолжается реализация 17 инвестиционных проектов, из них 15 инвестиционных проектов реализуются с сопровождением по принципу «одного окна».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Объем </w:t>
      </w: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розничного товарооборота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(через все каналы реализации) в отчетном периоде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увеличился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до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1699,2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млн. рублей, темп роста к аналогичному периоду прошлого года 118,0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%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. На долю малого и среднего предпринимательства приходится 53,4% всего объема розничного товарооборота.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По состоянию на 01 июля на территории округа осуществляли деятельность 2102 хозяйствующих субъекта, в том числе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1869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</w:rPr>
        <w:t>субъектов малого и среднего бизнеса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, из них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1658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индивидуальных предпринимателей (7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8,7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% от общего числа) и 2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11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юридических лица. Кроме того по данным  Межрайонной ИФНС России № 3 по Ставропольскому краю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638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налогоплательщиков применяют специальный налоговый режим «Налог на профессиональный доход».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528677365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В отчетном периоде микрозаймы НМО «Фонд микрофинансирования субъектов малого и среднего предпринимательства в Ставропольском крае» предоставлены 7 субъектам МСП на общую сумму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16,6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млн</w:t>
      </w:r>
      <w:r>
        <w:rPr>
          <w:rFonts w:ascii="Times New Roman" w:hAnsi="Times New Roman"/>
          <w:color w:val="000000"/>
          <w:sz w:val="28"/>
          <w:szCs w:val="28"/>
        </w:rPr>
        <w:t xml:space="preserve">. рублей.                    ГУП СК «Гарантийный фонд поддержки субъектов малого и среднего предпринимательства в Ставропольском крае» предоставлено 1 поручительство на сумму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35,0 млн.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рублей. </w:t>
      </w:r>
      <w:r>
        <w:rPr>
          <w:rFonts w:cs="Times New Roman" w:ascii="Times New Roman" w:hAnsi="Times New Roman"/>
          <w:color w:val="000000"/>
          <w:sz w:val="28"/>
          <w:szCs w:val="28"/>
        </w:rPr>
        <w:t>Фондом поддержки предпринимательства в Ставропольском крае субъектам малого и среднего предпринимательства было оказано 4 консультации (по мерам поддержки, об открытии бизнеса, бизнес-планировании т.д.).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000000"/>
          <w:sz w:val="28"/>
          <w:szCs w:val="28"/>
        </w:rPr>
        <w:t>Сальдированный финансовый результат деятельности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 крупных и средних предприятий за январь - май текущего года сложился положительным и составил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452,0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млн. рублей, что в 2,2 раза превышает показатель за аналогичный период прошлого года. Прибыль в размере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>505,1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млн. рублей получили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>47,4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>% предприятий округа. Убыток в размере 53,1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млн. рублей получили 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lang w:val="ru-RU" w:eastAsia="ru-RU" w:bidi="ar-SA"/>
        </w:rPr>
        <w:t>52,6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>% предприятий округа.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В </w:t>
      </w:r>
      <w:r>
        <w:rPr>
          <w:rFonts w:eastAsia="" w:cs="Times New Roman" w:ascii="Times New Roman" w:hAnsi="Times New Roman" w:eastAsiaTheme="minorEastAsia"/>
          <w:b/>
          <w:bCs/>
          <w:color w:val="000000"/>
          <w:sz w:val="28"/>
          <w:szCs w:val="28"/>
        </w:rPr>
        <w:t xml:space="preserve">бюджет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Петровского городского округа Ставропольского края (далее – местный бюджет) за первое полугодие 2021 года поступило 1142,7 млн. рублей доходов. По состоянию на 01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июля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 xml:space="preserve">2021 года доходная часть местного бюджета выполнена на 47,4% к годовым бюджетным назначениям (запланировано 2410,7 млн. рублей). По сравнению с аналогичным периодом прошлого года поступление доходов увеличилось на 98,0 млн. рублей. В общей сумме поступлений 21,0% или 239,5 млн. рублей составили налоговые и неналоговые доходы. Безвозмездные поступления на 01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июля 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>2021 года занимают 79,0% всех доходов местного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000000"/>
          <w:sz w:val="28"/>
          <w:szCs w:val="28"/>
        </w:rPr>
        <w:t>Объем планируемых расходов местного бюджета на 2021 год в течение первого полугодия 2021 года увеличился по сравнению с первоначально принятым бюджетом на 227,3 млн. рублей и составил 2559,6 млн. рублей.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Кассовое исполнение бюджета округа осуществлялось в рамках реализации 14 муниципальных программ Петровского городского округа Ставропольского края (далее - муниципальные программы). Кассовое исполнение за отчетный период сложилось в сумме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1163,4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млн. рублей или 45,5% к уточненному годовому плану, что выше показателя за аналогичный период прошлого года на 1,9%.  </w:t>
      </w:r>
      <w:r>
        <w:rPr>
          <w:rFonts w:eastAsia="" w:cs="Times New Roman" w:ascii="Times New Roman" w:hAnsi="Times New Roman"/>
          <w:color w:val="000000"/>
          <w:sz w:val="28"/>
          <w:szCs w:val="28"/>
        </w:rPr>
        <w:t>Непрограммная часть занимает 2,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</w:t>
      </w:r>
      <w:r>
        <w:rPr>
          <w:rFonts w:eastAsia="" w:cs="Times New Roman" w:ascii="Times New Roman" w:hAnsi="Times New Roman"/>
          <w:color w:val="000000"/>
          <w:sz w:val="28"/>
          <w:szCs w:val="28"/>
        </w:rPr>
        <w:t>% от общего объема расходов бюджета округа.</w:t>
      </w:r>
      <w:r>
        <w:rPr>
          <w:rFonts w:eastAsia="" w:cs="Times New Roman"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отчетном периоде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в ходе реализации мероприятий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муниципальных программ </w:t>
      </w:r>
      <w:r>
        <w:rPr>
          <w:rFonts w:cs="Times New Roman" w:ascii="Times New Roman" w:hAnsi="Times New Roman"/>
          <w:color w:val="000000"/>
          <w:sz w:val="28"/>
          <w:szCs w:val="28"/>
        </w:rPr>
        <w:t>осуществлялась реализация проектов, основанных на местных инициативах. В полном объеме завершены работы по обустройству территории, прилегающей к памятнику «Воинам - односельчанам, погибшим в годы гражданской и Великой Отечественной войн» в с. Просянка. Выполнены работы по устройству и ремонту тротуара в селе Сухая Буйвола, выполнен ремонт автомобильных дорог общего пользования в селе Шангала, обустроены остановочные павильоны в г.Светлограде, осуществляется благоустройство прилегающих территорий к Домам культуры в селах Гофицкое, Ореховка и поселке Рогатая Балка, выполнено 80% от общего объема работ. Ведутся работы по благоустройству общественных территорий в селах Донская Балка, Константиновское, Высоцкое, Благодатное, Николина Балка, Шведино, поселке Прикалаусский, хуторе Соленое Озеро и городе Светлоград. Приобретен аттракцион для сквера им. А.П. Гайдара в г. Светлоград.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рамках реализации регионального проекта «Формирование комфортной городской среды» идут работы по благоустройству пешеходных зон по ул. Тургенева города Светлограда (от ул. Красная до ул. Комсомольская) и ул. Ленина города Светлограда, выполнены работы по укладке брусчатки, установке бордюров, обустройству освещения.</w:t>
      </w:r>
      <w:r>
        <w:rPr>
          <w:rFonts w:cs="Times New Roman" w:ascii="Times New Roman" w:hAnsi="Times New Roman"/>
          <w:color w:val="000000"/>
          <w:sz w:val="28"/>
          <w:szCs w:val="28"/>
          <w:highlight w:val="yellow"/>
        </w:rPr>
        <w:t xml:space="preserve">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>В округе решена проблема доступности</w:t>
      </w:r>
      <w:r>
        <w:rPr>
          <w:rFonts w:eastAsia="Lucida Sans Unicode" w:cs="Tahoma" w:ascii="Times New Roman" w:hAnsi="Times New Roman"/>
          <w:b/>
          <w:color w:val="000000"/>
          <w:sz w:val="28"/>
          <w:szCs w:val="28"/>
        </w:rPr>
        <w:t xml:space="preserve"> дошкольного образования,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 при наличии в детских садах 412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6</w:t>
      </w:r>
      <w:r>
        <w:rPr>
          <w:rFonts w:eastAsia="Lucida Sans Unicode" w:cs="Tahoma" w:ascii="Times New Roman" w:hAnsi="Times New Roman"/>
          <w:b w:val="false"/>
          <w:bCs w:val="false"/>
          <w:color w:val="000000"/>
          <w:sz w:val="28"/>
          <w:szCs w:val="28"/>
        </w:rPr>
        <w:t xml:space="preserve"> мест,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детские сады посещают 3104 ребенка. 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 xml:space="preserve">Количество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детей в возрасте от 1 до 7 лет, состоящих на учете для определения в дошкольные образовательные организации, по состоянию на 01 июля 20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21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года составило 142 ребенка.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>
          <w:color w:val="auto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На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30 июня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2021 года в </w:t>
      </w:r>
      <w:r>
        <w:rPr>
          <w:rFonts w:eastAsia="Lucida Sans Unicode" w:cs="Tahoma" w:ascii="Times New Roman" w:hAnsi="Times New Roman"/>
          <w:b/>
          <w:bCs/>
          <w:color w:val="000000"/>
          <w:sz w:val="28"/>
          <w:szCs w:val="28"/>
        </w:rPr>
        <w:t>общеобразовательных организациях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округа обучалось 6538 детей. На протяжении всего периода проведения </w:t>
      </w:r>
      <w:r>
        <w:rPr>
          <w:rFonts w:eastAsia="Lucida Sans Unicode" w:cs="Tahoma" w:ascii="Times New Roman" w:hAnsi="Times New Roman"/>
          <w:bCs/>
          <w:color w:val="000000"/>
          <w:sz w:val="28"/>
          <w:szCs w:val="28"/>
        </w:rPr>
        <w:t>государственной итоговой аттестации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в форме ЕГЭ округ показывает стабильные результаты. </w:t>
      </w:r>
      <w:r>
        <w:rPr>
          <w:rFonts w:eastAsia="" w:cs="Tahoma" w:ascii="Times New Roman" w:hAnsi="Times New Roman" w:eastAsiaTheme="minorEastAsia"/>
          <w:color w:val="000000"/>
          <w:sz w:val="28"/>
          <w:szCs w:val="28"/>
        </w:rPr>
        <w:t xml:space="preserve">В 2021 году из </w:t>
      </w:r>
      <w:r>
        <w:rPr>
          <w:rFonts w:eastAsia="" w:cs="Tahoma" w:ascii="Times New Roman" w:hAnsi="Times New Roman" w:eastAsiaTheme="minorEastAsia"/>
          <w:color w:val="000000"/>
          <w:kern w:val="0"/>
          <w:sz w:val="28"/>
          <w:szCs w:val="28"/>
          <w:lang w:val="ru-RU" w:eastAsia="ru-RU" w:bidi="ar-SA"/>
        </w:rPr>
        <w:t xml:space="preserve">235 </w:t>
      </w:r>
      <w:r>
        <w:rPr>
          <w:rFonts w:eastAsia="" w:cs="Tahoma" w:ascii="Times New Roman" w:hAnsi="Times New Roman" w:eastAsiaTheme="minorEastAsia"/>
          <w:color w:val="000000"/>
          <w:sz w:val="28"/>
          <w:szCs w:val="28"/>
        </w:rPr>
        <w:t>выпускников 11 классов освоили государственный стандарт 100% учащихся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Образовательные организации округа принимают участие в реализации региональных проектов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ar-SA"/>
        </w:rPr>
        <w:t>Ставропольского края (далее — региональный проект)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. Так в рамках регионального проекта «Современная школа» национального проекта «Образование» в округе с 2019 года функционируют 4 Центра образования цифрового и гуманитарного профилей «Точка роста» (далее — Центры). На базе Центров внедрена сетевая форма реализации общеобразовательных программ. Данной формой обучения охвачены 4 общеобразовательные организации МКОУ СОШ № 6 им. Г.В. Батищева, МКОУ СОШ № 13, МКОУ СОШ № 17, МКОУ СОШ № 16. В сентябре 2021 года на базе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 w:bidi="en-US"/>
        </w:rPr>
        <w:t>МКОУ СОШ №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 18 с. Шангала и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 w:bidi="en-US"/>
        </w:rPr>
        <w:t>МКОУ СОШ № 10 с. Донская Балка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 откроются 2 центра образования естественнонаучной и технологической направленностей «Точка роста». Школы получат цифровые лаборатории по химии, физике, биологии, экологии. </w:t>
      </w:r>
      <w:r>
        <w:rPr>
          <w:rFonts w:ascii="Times New Roman" w:hAnsi="Times New Roman"/>
          <w:color w:val="000000"/>
          <w:sz w:val="28"/>
          <w:szCs w:val="28"/>
        </w:rPr>
        <w:t>Благодаря участию в данном региональном проекте в округе создается сеть общеобразовательных организаций, в которых возможна реализация разноплановых образовательных программ.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 xml:space="preserve">В школах сел Шведино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Благодатное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 xml:space="preserve"> ведется работа по созданию условий для занятий спортом в рамках регионального проекта «Успех каждого ребенка».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 xml:space="preserve">В округе продолжается работа по созданию комфортных современных условий для обучения, развития инфраструктуры и улучшению санитарного состояния. Так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en-US" w:bidi="en-US"/>
        </w:rPr>
        <w:t xml:space="preserve">в целях соблюдения требований к воздушно-тепловому режиму, водоснабжению и канализации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</w:rPr>
        <w:t xml:space="preserve">ведутся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en-US" w:bidi="en-US"/>
        </w:rPr>
        <w:t>работы по благоустройству здания МКОУ СОШ №15 п. Прикалаусский, в МКОУ СОШ №5 в г. Светлограда идет строительство спортзала, мастерской и спортивной площадки.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На базе общеобразовательных школ и учреждений дополнительного образования открыты 22 лагеря с общим охватом 1503 детей. В работе ученических бригад и трудовых объединений, прохождении летней практики заняты 934 учащихся. Во взаимодействии с ГКУ «Центр занятости Петровского района» трудоустроены 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80 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школьников.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Lucida Sans Unicode" w:cs="Tahoma" w:ascii="Times New Roman" w:hAnsi="Times New Roman"/>
          <w:sz w:val="28"/>
          <w:szCs w:val="28"/>
        </w:rPr>
        <w:t xml:space="preserve">Охват </w:t>
      </w:r>
      <w:r>
        <w:rPr>
          <w:rFonts w:eastAsia="Lucida Sans Unicode" w:cs="Tahoma" w:ascii="Times New Roman" w:hAnsi="Times New Roman"/>
          <w:b/>
          <w:sz w:val="28"/>
          <w:szCs w:val="28"/>
        </w:rPr>
        <w:t>молодежи</w:t>
      </w:r>
      <w:r>
        <w:rPr>
          <w:rFonts w:eastAsia="Lucida Sans Unicode" w:cs="Tahoma" w:ascii="Times New Roman" w:hAnsi="Times New Roman"/>
          <w:sz w:val="28"/>
          <w:szCs w:val="28"/>
        </w:rPr>
        <w:t xml:space="preserve"> массовыми мероприятиями на территории округа по итогам отчетного периода составил 58%. Молодежные делегации округа принимали участие в мероприятиях различного уровня, проходивших в Ставропольском крае, наиболее значимыми из них были участие в XXIX краевом фестивале «Студенческая весна Ставрополья – 2021» и </w:t>
      </w:r>
      <w:r>
        <w:rPr>
          <w:rFonts w:eastAsia="Times New Roman" w:cs="Tahoma" w:ascii="Times New Roman" w:hAnsi="Times New Roman"/>
          <w:sz w:val="28"/>
          <w:szCs w:val="28"/>
          <w:lang w:eastAsia="ru-RU"/>
        </w:rPr>
        <w:t xml:space="preserve">в </w:t>
      </w:r>
      <w:bookmarkStart w:id="3" w:name="_Hlk70068248"/>
      <w:r>
        <w:rPr>
          <w:rFonts w:eastAsia="Times New Roman" w:cs="Tahoma" w:ascii="Times New Roman" w:hAnsi="Times New Roman"/>
          <w:sz w:val="28"/>
          <w:szCs w:val="28"/>
          <w:lang w:val="en-US" w:eastAsia="ru-RU"/>
        </w:rPr>
        <w:t>XVI</w:t>
      </w:r>
      <w:r>
        <w:rPr>
          <w:rFonts w:eastAsia="Times New Roman" w:cs="Tahoma" w:ascii="Times New Roman" w:hAnsi="Times New Roman"/>
          <w:sz w:val="28"/>
          <w:szCs w:val="28"/>
          <w:lang w:eastAsia="ru-RU"/>
        </w:rPr>
        <w:t xml:space="preserve"> открытом межрегиональном фестивале-конкурсе детских и молодежных СМИ «На 45-ой параллели»</w:t>
      </w:r>
      <w:bookmarkEnd w:id="3"/>
      <w:r>
        <w:rPr>
          <w:rFonts w:eastAsia="Times New Roman" w:cs="Tahoma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sz w:val="28"/>
          <w:szCs w:val="28"/>
        </w:rPr>
        <w:t xml:space="preserve">В первом полугодии проведено </w:t>
      </w:r>
      <w:r>
        <w:rPr>
          <w:rFonts w:eastAsia="Lucida Sans Unicode" w:cs="Tahoma" w:ascii="Times New Roman" w:hAnsi="Times New Roman"/>
          <w:color w:val="auto"/>
          <w:kern w:val="0"/>
          <w:sz w:val="28"/>
          <w:szCs w:val="28"/>
          <w:lang w:val="ru-RU" w:eastAsia="ru-RU" w:bidi="ar-SA"/>
        </w:rPr>
        <w:t>36</w:t>
      </w:r>
      <w:r>
        <w:rPr>
          <w:rFonts w:eastAsia="Lucida Sans Unicode" w:cs="Tahoma" w:ascii="Times New Roman" w:hAnsi="Times New Roman"/>
          <w:sz w:val="28"/>
          <w:szCs w:val="28"/>
        </w:rPr>
        <w:t xml:space="preserve"> </w:t>
      </w:r>
      <w:r>
        <w:rPr>
          <w:rFonts w:eastAsia="Lucida Sans Unicode" w:cs="Tahoma" w:ascii="Times New Roman" w:hAnsi="Times New Roman"/>
          <w:b/>
          <w:bCs/>
          <w:sz w:val="28"/>
          <w:szCs w:val="28"/>
        </w:rPr>
        <w:t>физкультурно-спортивных мероприятий</w:t>
      </w:r>
      <w:r>
        <w:rPr>
          <w:rFonts w:eastAsia="Lucida Sans Unicode" w:cs="Tahoma" w:ascii="Times New Roman" w:hAnsi="Times New Roman"/>
          <w:sz w:val="28"/>
          <w:szCs w:val="28"/>
        </w:rPr>
        <w:t>, участие в которых приняли около 2,2 тыс. человек. Спортсмены округа приняли участие в 2 межрайонных, 10 региональных, 4 межрегиональных соревнованиях.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отчетном периоде Домами культуры округа проведено 1064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культурных мероприятий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программ различных форм направленности, которые посетили около 17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ar-SA" w:bidi="ar-SA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,0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ar-SA" w:bidi="ar-SA"/>
        </w:rPr>
        <w:t xml:space="preserve"> тыс.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человек. Муниципальные музеи МКУК «Гофицкий историко-краеведческий музей им. Ю.И.Бельгарова» и МКУК «Народный музей села Сухая Буйвола» посетили около 3,2 тыс. человек. </w:t>
      </w: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ar-SA"/>
        </w:rPr>
        <w:t>Библиотеками округа проведено 578 мероприятий, в которых приняли участие 15,5 тыс. человек.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imes New Roman" w:ascii="Times New Roman" w:hAnsi="Times New Roman"/>
          <w:color w:val="000000"/>
          <w:sz w:val="28"/>
          <w:szCs w:val="28"/>
          <w:lang w:eastAsia="ar-SA"/>
        </w:rPr>
        <w:t>В рамках реализации регионального проекта «Культурная среда» ведется капитальный ремонт зданий МКУК «ДК с. Донская Балка» и МКУК ДО «Светлоградская детская художественная школа».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Среднесписочная численность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работников организаций, не относящихся к субъектам малого и среднего предпринимательства (без внешних совместителей) за 5 месяцев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21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года составила 10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416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 при темпе роста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98,5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% к показателю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20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года.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В условиях сохранения распространения новой коронавирусной инфекции COVID-19 в округе стабилизируется ситуация на рынке труда. По данным ГКУ «ЦЗН Петровского района»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ar-SA"/>
        </w:rPr>
        <w:t>уровень регистрируемой безработицы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по состоянию на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июня 2021 года составлял 2,5%, численность официально зарегистрированных безработных -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814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человек (на 30 июня 2020 года — 3,8%, 1274 человека соответственно). Потребность в работниках, заявленная работодателями в органы службы занятости населения 614 человек, коэффициент напряженности составляет 1,3.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Среднемесячная заработная плата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работников списочного состава организаций, не относящихся к субъектам малого и среднего предпринимательства, за январь - май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21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увеличилась до             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30333,3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рубл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ей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при темпе роста 1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06,0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% к показателю аналогичного периода прошлого года.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exact" w:line="227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Среднемесячная заработная плата по основным отраслям экономики</w:t>
      </w:r>
    </w:p>
    <w:p>
      <w:pPr>
        <w:pStyle w:val="Normal"/>
        <w:widowControl w:val="false"/>
        <w:suppressAutoHyphens w:val="true"/>
        <w:spacing w:lineRule="exact" w:line="227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за январь- май  </w:t>
      </w:r>
    </w:p>
    <w:p>
      <w:pPr>
        <w:pStyle w:val="Normal"/>
        <w:widowControl w:val="false"/>
        <w:suppressAutoHyphens w:val="true"/>
        <w:spacing w:lineRule="exact" w:line="227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yellow"/>
        </w:rPr>
        <w:t xml:space="preserve">                                                                                    </w:t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53"/>
        <w:gridCol w:w="4402"/>
        <w:gridCol w:w="1214"/>
        <w:gridCol w:w="1648"/>
        <w:gridCol w:w="1439"/>
      </w:tblGrid>
      <w:tr>
        <w:trPr>
          <w:trHeight w:val="867" w:hRule="atLeast"/>
          <w:cantSplit w:val="true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Отрасли экономической деятельности</w:t>
            </w:r>
          </w:p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Темп роста, %</w:t>
            </w:r>
          </w:p>
        </w:tc>
      </w:tr>
      <w:tr>
        <w:trPr>
          <w:trHeight w:val="284" w:hRule="atLeast"/>
          <w:cantSplit w:val="true"/>
        </w:trPr>
        <w:tc>
          <w:tcPr>
            <w:tcW w:w="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27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4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27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20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2021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27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Всего по обследуемым отраслям экономики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28607,0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30333,3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106,0</w:t>
            </w:r>
          </w:p>
        </w:tc>
      </w:tr>
      <w:tr>
        <w:trPr>
          <w:trHeight w:val="255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26651,8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30349,3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113,9</w:t>
            </w:r>
          </w:p>
        </w:tc>
      </w:tr>
      <w:tr>
        <w:trPr>
          <w:trHeight w:val="270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7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Добыча полезных ископаемых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71626,0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57879,9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80,8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Обрабатывающие производства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29465,2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35026,4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118,9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электрической энергией, газом и паром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25289,1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27968,6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110,6</w:t>
            </w:r>
          </w:p>
        </w:tc>
      </w:tr>
      <w:tr>
        <w:trPr>
          <w:trHeight w:val="157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24306,4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25155,5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103,5</w:t>
            </w:r>
          </w:p>
        </w:tc>
      </w:tr>
      <w:tr>
        <w:trPr>
          <w:trHeight w:val="161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25700,6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26560,7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103,3</w:t>
            </w:r>
          </w:p>
        </w:tc>
      </w:tr>
      <w:tr>
        <w:trPr>
          <w:trHeight w:val="194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21035,4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23330,4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110,9</w:t>
            </w:r>
          </w:p>
        </w:tc>
      </w:tr>
      <w:tr>
        <w:trPr>
          <w:trHeight w:val="149" w:hRule="atLeast"/>
          <w:cantSplit w:val="true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27" w:before="0" w:after="0"/>
              <w:ind w:left="0" w:right="57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27456,7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28532,7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27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103,9</w:t>
            </w:r>
          </w:p>
        </w:tc>
      </w:tr>
    </w:tbl>
    <w:p>
      <w:pPr>
        <w:pStyle w:val="Normal"/>
        <w:spacing w:lineRule="exact" w:line="227" w:before="0" w:after="0"/>
        <w:ind w:firstLine="708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yellow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yellow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</w:rPr>
        <w:t>По состоянию на 01 июля 202</w:t>
      </w:r>
      <w:r>
        <w:rPr>
          <w:rFonts w:eastAsia="Lucida Sans Unicode" w:cs="Tahoma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</w:t>
      </w:r>
      <w:r>
        <w:rPr>
          <w:rFonts w:eastAsia="Lucida Sans Unicode" w:cs="Tahoma" w:ascii="Times New Roman" w:hAnsi="Times New Roman"/>
          <w:color w:val="000000"/>
          <w:sz w:val="28"/>
          <w:szCs w:val="28"/>
        </w:rPr>
        <w:t xml:space="preserve"> года сохраняется просроченная задолженность по заработной плате в АО «Светлоградский маслоэкстракционный завод» (перед 96 работниками), ОАО «Светлоградский элеватор» (перед 93 работниками) на общую сумму 33,8 млн.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За 1-е полугодие 2021 года более 25,2 тыс. получателей предоставлены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меры социальной поддержки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на общую сумму 286,2 млн. рублей. В том числе в рамках регионального проекта «Финансовая поддержка семей при рождении детей» 690 получателям оказаны меры социальной поддержки на сумму 44,4 млн.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528678276"/>
      <w:bookmarkStart w:id="5" w:name="_Hlk5286787021"/>
      <w:bookmarkEnd w:id="5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протяжении ряда лет в округе сохраняется негативная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демографическая ситуация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bookmarkEnd w:id="4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По предварительным статистическим данным в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 январе — апреле 20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21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 года в округе родилось 183 ребенка, умерло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432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>человека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. В результате, коэффициент смертности в расчете на 1000 человек населения (1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8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,7) в 2,4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раза превышает коэффициент рождаемости (7,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9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). В аналогичном периоде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20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коэффициент рождаемости составлял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8,4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на 1000 человек населения, коэффициент смертности —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13,8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На территорию округа в течение января - апреля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21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прибыло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517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человек, число выбывших составило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575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человек. В результате миграционный отток населения сократился до 58 человек (за январь - апрель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20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-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165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человек).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highlight w:val="yellow"/>
        </w:rPr>
        <w:t xml:space="preserve">            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 w:ascii="Times New Roman" w:hAnsi="Times New Roman"/>
          <w:sz w:val="28"/>
          <w:szCs w:val="28"/>
        </w:rPr>
        <w:t>Таким образом социально-экономическое развитие округа в анализируемом периоде характеризуется стабильным развитием социальной сферы, положительной динамикой средней месячной заработной платы одного работающего, увеличением объемов производства отдельных видов сельскохозяйственной продукции, увеличением объемов прибыли и объемов    инвестиций в экономику округа, увеличение ввода в эксплуатацию жилых помещений.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 w:ascii="Times New Roman" w:hAnsi="Times New Roman"/>
          <w:sz w:val="28"/>
          <w:szCs w:val="28"/>
        </w:rPr>
        <w:t>Вместе с тем сохраняются и негативные тенденции: сокращение численности населения, убыточная деятельность ряда предприятий, наличие просроченной задолженности по заработной плате.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Lucida Sans Unicode" w:cs="Tahoma"/>
          <w:sz w:val="28"/>
          <w:szCs w:val="28"/>
        </w:rPr>
      </w:pPr>
      <w:r>
        <w:rPr>
          <w:rFonts w:eastAsia="Lucida Sans Unicode" w:cs="Tahoma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Lucida Sans Unicode" w:cs="Tahoma"/>
          <w:color w:val="000000"/>
          <w:sz w:val="28"/>
          <w:szCs w:val="28"/>
          <w:highlight w:val="yellow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Lucida Sans Unicode" w:cs="Tahoma" w:ascii="Times New Roman" w:hAnsi="Times New Roman"/>
          <w:color w:val="000000"/>
          <w:sz w:val="28"/>
          <w:szCs w:val="28"/>
          <w:highlight w:val="yellow"/>
        </w:rPr>
        <w:t xml:space="preserve">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>Первый заместитель главы администрации -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>начальник финансового управления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 xml:space="preserve">администрации Петровского городского  </w:t>
      </w:r>
    </w:p>
    <w:p>
      <w:pPr>
        <w:pStyle w:val="Normal"/>
        <w:spacing w:lineRule="auto" w:line="240" w:before="0" w:after="0"/>
        <w:jc w:val="both"/>
        <w:rPr>
          <w:shd w:fill="auto" w:val="clear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shd w:fill="auto" w:val="clear"/>
        </w:rPr>
        <w:t>округа Ставропольского края                                                   В.П.Сухомлинова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spacing w:lineRule="auto" w:line="240" w:before="0" w:after="0"/>
        <w:jc w:val="left"/>
        <w:rPr>
          <w:highlight w:val="yellow"/>
        </w:rPr>
      </w:pPr>
      <w:r>
        <w:rPr/>
      </w:r>
    </w:p>
    <w:sectPr>
      <w:type w:val="nextPage"/>
      <w:pgSz w:w="11906" w:h="16838"/>
      <w:pgMar w:left="1985" w:right="62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DejaVu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6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6"/>
    <w:next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2 Знак"/>
    <w:basedOn w:val="DefaultParagraphFont"/>
    <w:link w:val="2"/>
    <w:uiPriority w:val="99"/>
    <w:qFormat/>
    <w:rsid w:val="00ec10e6"/>
    <w:rPr>
      <w:rFonts w:ascii="Calibri" w:hAnsi="Calibri" w:eastAsia="Times New Roman" w:cs="Times New Roman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ba7f6a"/>
    <w:rPr>
      <w:rFonts w:ascii="Times New Roman" w:hAnsi="Times New Roman" w:eastAsia="Lucida Sans Unicode" w:cs="Times New Roman"/>
      <w:sz w:val="24"/>
      <w:szCs w:val="20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6e3660"/>
    <w:rPr>
      <w:rFonts w:ascii="Segoe UI" w:hAnsi="Segoe UI" w:cs="Segoe UI"/>
      <w:sz w:val="18"/>
      <w:szCs w:val="18"/>
    </w:rPr>
  </w:style>
  <w:style w:type="character" w:styleId="Style14">
    <w:name w:val="Символ нумерации"/>
    <w:qFormat/>
    <w:rPr/>
  </w:style>
  <w:style w:type="character" w:styleId="Style15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f5d2f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link w:val="20"/>
    <w:uiPriority w:val="99"/>
    <w:unhideWhenUsed/>
    <w:qFormat/>
    <w:rsid w:val="00ec10e6"/>
    <w:pPr>
      <w:spacing w:lineRule="auto" w:line="480" w:before="0" w:after="120"/>
      <w:ind w:left="283" w:hanging="0"/>
    </w:pPr>
    <w:rPr>
      <w:rFonts w:ascii="Calibri" w:hAnsi="Calibri" w:eastAsia="Times New Roman" w:cs="Times New Roman"/>
    </w:rPr>
  </w:style>
  <w:style w:type="paragraph" w:styleId="NormalWeb">
    <w:name w:val="Normal (Web)"/>
    <w:basedOn w:val="Normal"/>
    <w:uiPriority w:val="99"/>
    <w:qFormat/>
    <w:rsid w:val="00a95d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22"/>
    <w:uiPriority w:val="99"/>
    <w:unhideWhenUsed/>
    <w:qFormat/>
    <w:rsid w:val="00ba7f6a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Lucida Sans Unicode" w:cs="Times New Roman"/>
      <w:sz w:val="24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6e36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umentMap">
    <w:name w:val="Document 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7DE2-254B-4AB8-9082-8ED81F9D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Application>LibreOffice/7.0.6.2$Linux_X86_64 LibreOffice_project/00$Build-2</Application>
  <AppVersion>15.0000</AppVersion>
  <DocSecurity>0</DocSecurity>
  <Pages>7</Pages>
  <Words>2116</Words>
  <Characters>14057</Characters>
  <CharactersWithSpaces>16494</CharactersWithSpaces>
  <Paragraphs>102</Paragraphs>
  <Company>Администрация Петровского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2020-07-23T06:58:00Z</dcterms:created>
  <dc:creator>Отдел экономичесого развития</dc:creator>
  <dc:description/>
  <dc:language>ru-RU</dc:language>
  <cp:lastModifiedBy/>
  <cp:lastPrinted>2021-08-06T11:38:14Z</cp:lastPrinted>
  <dcterms:modified xsi:type="dcterms:W3CDTF">2021-08-06T11:53:17Z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