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68D7" w14:textId="77777777" w:rsidR="00D64298" w:rsidRPr="006F4842" w:rsidRDefault="00D64298" w:rsidP="00D6429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33104"/>
      <w:r w:rsidRPr="006F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14:paraId="67F4E1E3" w14:textId="276FC563" w:rsidR="00D64298" w:rsidRPr="006F4842" w:rsidRDefault="00D64298" w:rsidP="00D6429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социально-экономическом развитии Петровского городского округа Ставропольского края за </w:t>
      </w:r>
      <w:r w:rsidR="006F4842" w:rsidRPr="006F48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549D" w:rsidRPr="006F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6F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bookmarkEnd w:id="0"/>
    <w:p w14:paraId="388A9CE1" w14:textId="77777777" w:rsidR="00D64298" w:rsidRPr="006F4842" w:rsidRDefault="00D64298" w:rsidP="00D64298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</w:p>
    <w:p w14:paraId="38B12E4B" w14:textId="26780009" w:rsidR="00D64298" w:rsidRPr="006F4842" w:rsidRDefault="00D64298" w:rsidP="00D6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842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По статистическим данным оборот крупных и средних предприятий, отражающий их коммерческую деятельность, за январь – </w:t>
      </w:r>
      <w:r w:rsidR="006F4842" w:rsidRPr="006F4842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сентябрь</w:t>
      </w:r>
      <w:r w:rsidRPr="006F4842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2019 года составил </w:t>
      </w:r>
      <w:r w:rsidR="006F4842" w:rsidRPr="006F4842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8622,86</w:t>
      </w:r>
      <w:r w:rsidRPr="006F4842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млн. рублей при темпе роста </w:t>
      </w:r>
      <w:r w:rsidR="006F4842" w:rsidRPr="006F4842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113,7</w:t>
      </w:r>
      <w:r w:rsidRPr="006F4842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% к показателю аналогичного периода 2018 года. </w:t>
      </w:r>
      <w:r w:rsidRPr="006F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Ведущее место в экономике остается за промышленностью и сельским хозяйством, на долю которых приходится около 81,0% оборота. </w:t>
      </w:r>
    </w:p>
    <w:p w14:paraId="0049C2D3" w14:textId="6AAD1BF5" w:rsidR="00D64298" w:rsidRPr="006F4842" w:rsidRDefault="00D64298" w:rsidP="00D6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(далее – товаров собственного производства) в отчетном периоде составил </w:t>
      </w:r>
      <w:r w:rsidR="006F4842"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>6450,81</w:t>
      </w:r>
      <w:r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при темпе роста </w:t>
      </w:r>
      <w:bookmarkStart w:id="1" w:name="_Hlk519663658"/>
      <w:r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>1</w:t>
      </w:r>
      <w:r w:rsidR="006F4842"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>12,5</w:t>
      </w:r>
      <w:r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>% к показателю за январь</w:t>
      </w:r>
      <w:r w:rsidR="00BD327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>-</w:t>
      </w:r>
      <w:r w:rsidR="00BD327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6F4842"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сентябрь </w:t>
      </w:r>
      <w:r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>2018 года</w:t>
      </w:r>
      <w:bookmarkEnd w:id="1"/>
      <w:r w:rsidRPr="006F4842">
        <w:rPr>
          <w:rFonts w:ascii="Times New Roman" w:eastAsia="Lucida Sans Unicode" w:hAnsi="Times New Roman" w:cs="Tahoma"/>
          <w:sz w:val="28"/>
          <w:szCs w:val="28"/>
          <w:lang w:eastAsia="ru-RU"/>
        </w:rPr>
        <w:t>.</w:t>
      </w:r>
      <w:r w:rsidRPr="006F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C3C862" w14:textId="0E97A80B" w:rsidR="00D64298" w:rsidRPr="006F4842" w:rsidRDefault="00D64298" w:rsidP="00D64298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highlight w:val="yellow"/>
          <w:lang w:eastAsia="ru-RU"/>
        </w:rPr>
      </w:pPr>
      <w:r w:rsidRPr="00E05C82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По промышленным видам деятельности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отмечается увеличение объемов отгруженных товаров собственного производства с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4054,1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за 9 месяцев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2018 год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а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до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4709,3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в отчетном периоде. Темп роста производства промышленной продукции 11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6,2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%</w:t>
      </w:r>
      <w:r w:rsidR="00A230F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(в среднем по краю - 100,6%).</w:t>
      </w:r>
    </w:p>
    <w:p w14:paraId="79EB2620" w14:textId="69EA6686" w:rsidR="00D64298" w:rsidRPr="00E05C82" w:rsidRDefault="00D64298" w:rsidP="00D64298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На долю обрабатывающих производств в объеме отгруженных товаров собственного производства промышленных предприятий приходится 57,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4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% (в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январе - сентябре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2018 года -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49,7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%). Объем продукции, отгруженной обрабатывающими предприятиями, в отчетном периоде увеличился до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2703,93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при темпе роста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131,4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% к показателю прошлого года</w:t>
      </w:r>
      <w:r w:rsidR="00A230F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(в среднем по краю - 104,6%)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. </w:t>
      </w:r>
    </w:p>
    <w:p w14:paraId="4D228FA3" w14:textId="5D1A3F34" w:rsidR="00D64298" w:rsidRPr="00E05C82" w:rsidRDefault="00D64298" w:rsidP="00D6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82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Сельскохозяйственными предприятиями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отгружено товаров собственного производства на сумму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1427,53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при темпе роста к показателю 201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8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года </w:t>
      </w:r>
      <w:r w:rsidR="00E05C82"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103,8</w:t>
      </w:r>
      <w:r w:rsidRPr="00E05C82">
        <w:rPr>
          <w:rFonts w:ascii="Times New Roman" w:eastAsia="Lucida Sans Unicode" w:hAnsi="Times New Roman" w:cs="Tahoma"/>
          <w:sz w:val="28"/>
          <w:szCs w:val="28"/>
          <w:lang w:eastAsia="ru-RU"/>
        </w:rPr>
        <w:t>%.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486C84" w14:textId="77777777" w:rsidR="00DE6F25" w:rsidRPr="00C3275B" w:rsidRDefault="00DE6F25" w:rsidP="00DE6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оперативным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году собрано </w:t>
      </w:r>
      <w:r w:rsidRPr="00CF4C23">
        <w:rPr>
          <w:rFonts w:ascii="Times New Roman" w:eastAsia="Times New Roman" w:hAnsi="Times New Roman" w:cs="Times New Roman"/>
          <w:sz w:val="28"/>
          <w:szCs w:val="28"/>
          <w:lang w:eastAsia="ru-RU"/>
        </w:rPr>
        <w:t>376,1 тыс. тонн зерновых и зернобобовых культур при средней урожайности 31,8 ц/</w:t>
      </w:r>
      <w:r w:rsidRPr="00350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 (в 2018 году 379,8 тыс. тонн при средней урожайности 30,2 ц/га)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масличных культур - 39,0 тыс. тонн при средней урожайности 12,6 ц/га (2018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- 30,7 тыс. тонн при средней урожайности 9,6 ц/га).</w:t>
      </w:r>
    </w:p>
    <w:p w14:paraId="45577711" w14:textId="0ABCCE2F" w:rsidR="00D64298" w:rsidRPr="006F4842" w:rsidRDefault="00D64298" w:rsidP="00D6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сельскохозяйственных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округа </w:t>
      </w:r>
      <w:r w:rsidR="00E05C82"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мяса скота и птицы на убой (в живом весе) 1</w:t>
      </w:r>
      <w:r w:rsidR="00E05C82"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тонн, что составляет </w:t>
      </w:r>
      <w:r w:rsidR="00E05C82"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>102,8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показателю </w:t>
      </w:r>
      <w:r w:rsidR="00E05C82"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 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Производство молока </w:t>
      </w:r>
      <w:r w:rsidR="00DE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организациях увеличилось </w:t>
      </w:r>
      <w:r w:rsid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05C82"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при темпе роста к показателю </w:t>
      </w:r>
      <w:r w:rsidR="00E05C82"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E05C82"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>134,2</w:t>
      </w:r>
      <w:r w:rsidRPr="00E05C8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F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6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надое на 1 корову молочного стада 5876 килограммов.</w:t>
      </w:r>
    </w:p>
    <w:p w14:paraId="477FAB0E" w14:textId="1B14247C" w:rsidR="00D64298" w:rsidRPr="00AA41EB" w:rsidRDefault="00D64298" w:rsidP="00D6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экономической деятельности </w:t>
      </w:r>
      <w:r w:rsidRPr="00AA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«строительство»</w:t>
      </w:r>
      <w:r w:rsidRP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выполнено работ на сумму </w:t>
      </w:r>
      <w:r w:rsidR="00AA41EB" w:rsidRP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>103,96</w:t>
      </w:r>
      <w:r w:rsidRP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при темпе роста </w:t>
      </w:r>
      <w:r w:rsidR="00AA41EB" w:rsidRP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показателю аналогичного периода прошлого года. </w:t>
      </w:r>
    </w:p>
    <w:p w14:paraId="6801F420" w14:textId="1BB21B33" w:rsidR="00C3275B" w:rsidRDefault="00CF691F" w:rsidP="00D6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86773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ИЖС в отчетном периоде введено в эксплуатацию 3841 кв.м. жилья, что составляет 59,8% к значению показателя за 9месяцев 2018 года.</w:t>
      </w:r>
    </w:p>
    <w:p w14:paraId="5C96F15F" w14:textId="58502677" w:rsidR="007864E5" w:rsidRPr="00B94D53" w:rsidRDefault="007864E5" w:rsidP="0078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53">
        <w:rPr>
          <w:rFonts w:ascii="Times New Roman" w:hAnsi="Times New Roman" w:cs="Times New Roman"/>
          <w:sz w:val="28"/>
          <w:szCs w:val="28"/>
        </w:rPr>
        <w:lastRenderedPageBreak/>
        <w:t>В ходе нового строительства, расширения и реконструкции существующих производственных площадей введены в эксплуатацию трансформаторн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94D53">
        <w:rPr>
          <w:rFonts w:ascii="Times New Roman" w:hAnsi="Times New Roman" w:cs="Times New Roman"/>
          <w:sz w:val="28"/>
          <w:szCs w:val="28"/>
        </w:rPr>
        <w:t xml:space="preserve"> понизительн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94D53">
        <w:rPr>
          <w:rFonts w:ascii="Times New Roman" w:hAnsi="Times New Roman" w:cs="Times New Roman"/>
          <w:sz w:val="28"/>
          <w:szCs w:val="28"/>
        </w:rPr>
        <w:t xml:space="preserve"> подстанци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D53">
        <w:rPr>
          <w:rFonts w:ascii="Times New Roman" w:hAnsi="Times New Roman" w:cs="Times New Roman"/>
          <w:sz w:val="28"/>
          <w:szCs w:val="28"/>
        </w:rPr>
        <w:t xml:space="preserve"> напряжением до 35 кВ мощностью 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D53">
        <w:rPr>
          <w:rFonts w:ascii="Times New Roman" w:hAnsi="Times New Roman" w:cs="Times New Roman"/>
          <w:sz w:val="28"/>
          <w:szCs w:val="28"/>
        </w:rPr>
        <w:t xml:space="preserve"> тыс. кВ.А, </w:t>
      </w:r>
      <w:r>
        <w:rPr>
          <w:rFonts w:ascii="Times New Roman" w:hAnsi="Times New Roman" w:cs="Times New Roman"/>
          <w:sz w:val="28"/>
          <w:szCs w:val="28"/>
        </w:rPr>
        <w:t>0,6 км линий электропередач напряжением до 35 кВ, автозаправочная станция, 2,2 тыс.</w:t>
      </w:r>
      <w:r w:rsidRPr="00B94D53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53">
        <w:rPr>
          <w:rFonts w:ascii="Times New Roman" w:hAnsi="Times New Roman" w:cs="Times New Roman"/>
          <w:sz w:val="28"/>
          <w:szCs w:val="28"/>
        </w:rPr>
        <w:t>торговых площадей</w:t>
      </w:r>
      <w:r>
        <w:rPr>
          <w:rFonts w:ascii="Times New Roman" w:hAnsi="Times New Roman" w:cs="Times New Roman"/>
          <w:sz w:val="28"/>
          <w:szCs w:val="28"/>
        </w:rPr>
        <w:t>, общетоварный склад общей площадью 1,4 тыс. кв.м</w:t>
      </w:r>
      <w:r w:rsidRPr="00B94D53">
        <w:rPr>
          <w:rFonts w:ascii="Times New Roman" w:hAnsi="Times New Roman" w:cs="Times New Roman"/>
          <w:sz w:val="28"/>
          <w:szCs w:val="28"/>
        </w:rPr>
        <w:t xml:space="preserve">, 5 павильонов. </w:t>
      </w:r>
    </w:p>
    <w:p w14:paraId="66B2B5EA" w14:textId="77777777" w:rsidR="00DE6F25" w:rsidRPr="0036501A" w:rsidRDefault="00DE6F25" w:rsidP="00DE6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мониторинга </w:t>
      </w:r>
      <w:r w:rsidRPr="0036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инвестиций в основной капитал </w:t>
      </w:r>
      <w:r w:rsidRPr="00365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всех источников финансирования </w:t>
      </w:r>
      <w:r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2019 года по полному кругу хозяйствующих субъектов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1,36</w:t>
      </w:r>
      <w:r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14:paraId="35BB03B4" w14:textId="1CDA5435" w:rsidR="00FF5DC8" w:rsidRPr="0036501A" w:rsidRDefault="007864E5" w:rsidP="00FF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Крупными и средними предприятиями, представляющими статистическую отчетность – </w:t>
      </w:r>
      <w:r w:rsidR="00FF5DC8"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>774,4</w:t>
      </w:r>
      <w:r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FF5DC8"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видовой структуре инвестиций преобладают затраты на приобретение машин и оборудования - </w:t>
      </w:r>
      <w:r w:rsidR="0036501A"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>33,9</w:t>
      </w:r>
      <w:r w:rsidR="00FF5DC8"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>%, строительство</w:t>
      </w:r>
      <w:r w:rsidR="0036501A"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</w:t>
      </w:r>
      <w:r w:rsidR="00FF5DC8"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(кроме жилых) и сооружений - </w:t>
      </w:r>
      <w:r w:rsidR="0036501A"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>60,9</w:t>
      </w:r>
      <w:r w:rsidR="00FF5DC8" w:rsidRPr="0036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7DE72F51" w14:textId="5D469A30" w:rsidR="007864E5" w:rsidRPr="00FF5DC8" w:rsidRDefault="00FF5DC8" w:rsidP="00FF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4E5"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источник финансирования инвестиционной деятельности - привлеченные средства, на их долю приходится </w:t>
      </w:r>
      <w:r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>64,1</w:t>
      </w:r>
      <w:r w:rsidR="007864E5"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инвестиций. За счет средств бюджетной системы Российской Федерации на развитие экономики округа направлено </w:t>
      </w:r>
      <w:r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>389,2</w:t>
      </w:r>
      <w:r w:rsidR="007864E5"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0D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ведутся </w:t>
      </w:r>
      <w:r w:rsidR="007864E5"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модернизации Большого Ставропольского Канала, строительству</w:t>
      </w:r>
      <w:r w:rsidR="000D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модернизации </w:t>
      </w:r>
      <w:r w:rsidR="007864E5"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социальной инфраструктуры.</w:t>
      </w:r>
    </w:p>
    <w:p w14:paraId="47D4EE7B" w14:textId="4EDFC7F7" w:rsidR="007864E5" w:rsidRPr="00FF5DC8" w:rsidRDefault="007864E5" w:rsidP="00786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крупными и средними организациями на инвестиции в непроизведенные нефинансовые активы (приобретение земли) направлено </w:t>
      </w:r>
      <w:r w:rsidR="000D3A17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14:paraId="1ACA43C7" w14:textId="2D831B42" w:rsidR="007864E5" w:rsidRDefault="007864E5" w:rsidP="00786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предпринимательства, не являющимися объектами статистического наблюдения, освоено </w:t>
      </w:r>
      <w:r w:rsidR="00FF5DC8"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581,6 </w:t>
      </w:r>
      <w:r w:rsidRPr="00F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14:paraId="1177AD1C" w14:textId="77777777" w:rsidR="0036501A" w:rsidRDefault="007864E5" w:rsidP="00437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 w:rsidRPr="00786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розничного товарооборота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(через все каналы реализации)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 отчетного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увеличился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2404,2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оборот общественного питания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77,2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при темпе роста к аналогичному периоду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36501A" w:rsidRPr="0036501A">
        <w:rPr>
          <w:rFonts w:ascii="Times New Roman" w:eastAsia="Calibri" w:hAnsi="Times New Roman" w:cs="Times New Roman"/>
          <w:sz w:val="28"/>
          <w:szCs w:val="28"/>
          <w:lang w:eastAsia="ru-RU"/>
        </w:rPr>
        <w:t>109,2</w:t>
      </w:r>
      <w:r w:rsidRPr="0036501A">
        <w:rPr>
          <w:rFonts w:ascii="Times New Roman" w:eastAsia="Calibri" w:hAnsi="Times New Roman" w:cs="Times New Roman"/>
          <w:sz w:val="28"/>
          <w:szCs w:val="28"/>
          <w:lang w:eastAsia="ru-RU"/>
        </w:rPr>
        <w:t>% и 108,0%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соответственно. </w:t>
      </w:r>
    </w:p>
    <w:p w14:paraId="7864EFF9" w14:textId="38EA597C" w:rsidR="007864E5" w:rsidRPr="00437ADE" w:rsidRDefault="007864E5" w:rsidP="00437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в округе проведены </w:t>
      </w:r>
      <w:r w:rsidR="00F9157B">
        <w:rPr>
          <w:rFonts w:ascii="Times New Roman" w:eastAsia="Calibri" w:hAnsi="Times New Roman" w:cs="Times New Roman"/>
          <w:sz w:val="28"/>
          <w:szCs w:val="28"/>
          <w:lang w:eastAsia="ru-RU"/>
        </w:rPr>
        <w:t>140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ярмарки и выставки – ярмарки с дегустацией продукции местных производителей</w:t>
      </w:r>
      <w:r w:rsidR="00F9157B">
        <w:rPr>
          <w:rFonts w:ascii="Times New Roman" w:eastAsia="Calibri" w:hAnsi="Times New Roman" w:cs="Times New Roman"/>
          <w:sz w:val="28"/>
          <w:szCs w:val="28"/>
          <w:lang w:eastAsia="ru-RU"/>
        </w:rPr>
        <w:t>, общее количество ярмарочных дней достигло 826 дней.</w:t>
      </w:r>
      <w:r w:rsidRPr="00786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осуществления ярмарочной торговли в населенных пунктах предусмотрено 558 торговых мест. На ярмарках была представлена продукция не только производителей округа, но и муниципальных образований края и соседних регионов.</w:t>
      </w:r>
    </w:p>
    <w:p w14:paraId="36435B56" w14:textId="4A8EEC09" w:rsidR="00D64298" w:rsidRPr="00114444" w:rsidRDefault="00D64298" w:rsidP="00D6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</w:t>
      </w:r>
      <w:r w:rsidR="00AA41EB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2019 года</w:t>
      </w:r>
      <w:r w:rsidRPr="00114444">
        <w:rPr>
          <w:rFonts w:ascii="Calibri" w:eastAsia="Times New Roman" w:hAnsi="Calibri" w:cs="Times New Roman"/>
          <w:lang w:eastAsia="ru-RU"/>
        </w:rPr>
        <w:t xml:space="preserve"> 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осуществляли деятельность 24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субъектов, в том числе 2191 </w:t>
      </w:r>
      <w:r w:rsidRPr="0011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 малого и среднего бизнеса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19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(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89,0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числа) и 2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лица.</w:t>
      </w:r>
    </w:p>
    <w:p w14:paraId="5113B84D" w14:textId="3386D7FB" w:rsidR="00D64298" w:rsidRDefault="00D64298" w:rsidP="00D6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Микрозаймы НМО «Фонд микрофинансирования субъектов малого и среднего предпринимательства в Ставропольском крае» на общую сумму 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7 005,0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получили 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D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деятельности. ГУП СК «Гарантийный фонд поддержки субъектов малого и среднего предпринимательства в Ставропольском крае» предоставлен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437ADE" w:rsidRP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</w:t>
      </w:r>
      <w:r w:rsidR="00437ADE" w:rsidRP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437ADE" w:rsidRP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«Фонд поддержки предпринимательства в Ставропольском крае» оказана консультационная поддержка </w:t>
      </w:r>
      <w:r w:rsidR="00114444"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предпринимателям. </w:t>
      </w:r>
    </w:p>
    <w:p w14:paraId="1FD09A02" w14:textId="59B87C28" w:rsidR="00F9157B" w:rsidRDefault="00F9157B" w:rsidP="00F91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1BF">
        <w:rPr>
          <w:rFonts w:ascii="Times New Roman" w:hAnsi="Times New Roman"/>
          <w:sz w:val="28"/>
          <w:szCs w:val="28"/>
        </w:rPr>
        <w:t>Сальдированный</w:t>
      </w:r>
      <w:r w:rsidRPr="009741BF">
        <w:rPr>
          <w:rFonts w:ascii="Times New Roman" w:hAnsi="Times New Roman"/>
          <w:b/>
          <w:sz w:val="28"/>
          <w:szCs w:val="28"/>
        </w:rPr>
        <w:t xml:space="preserve"> финансовый результат </w:t>
      </w:r>
      <w:r w:rsidRPr="009741BF">
        <w:rPr>
          <w:rFonts w:ascii="Times New Roman" w:hAnsi="Times New Roman"/>
          <w:sz w:val="28"/>
          <w:szCs w:val="28"/>
        </w:rPr>
        <w:t xml:space="preserve">деятельности крупных и средних предприятий за январь - </w:t>
      </w:r>
      <w:r>
        <w:rPr>
          <w:rFonts w:ascii="Times New Roman" w:hAnsi="Times New Roman"/>
          <w:sz w:val="28"/>
          <w:szCs w:val="28"/>
        </w:rPr>
        <w:t xml:space="preserve">август </w:t>
      </w:r>
      <w:r w:rsidRPr="009741BF">
        <w:rPr>
          <w:rFonts w:ascii="Times New Roman" w:hAnsi="Times New Roman"/>
          <w:sz w:val="28"/>
          <w:szCs w:val="28"/>
        </w:rPr>
        <w:t xml:space="preserve">2019 года сложился положительным и составляет </w:t>
      </w:r>
      <w:r>
        <w:rPr>
          <w:rFonts w:ascii="Times New Roman" w:hAnsi="Times New Roman"/>
          <w:sz w:val="28"/>
          <w:szCs w:val="28"/>
        </w:rPr>
        <w:t>425,6</w:t>
      </w:r>
      <w:r w:rsidRPr="009741BF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 xml:space="preserve">, что в 2,1 раза превышает значение показателя </w:t>
      </w:r>
      <w:r w:rsidRPr="009741B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8</w:t>
      </w:r>
      <w:r w:rsidRPr="009741BF">
        <w:rPr>
          <w:rFonts w:ascii="Times New Roman" w:hAnsi="Times New Roman"/>
          <w:sz w:val="28"/>
          <w:szCs w:val="28"/>
        </w:rPr>
        <w:t xml:space="preserve"> месяцев 2018 года</w:t>
      </w:r>
      <w:r>
        <w:rPr>
          <w:rFonts w:ascii="Times New Roman" w:hAnsi="Times New Roman"/>
          <w:sz w:val="28"/>
          <w:szCs w:val="28"/>
        </w:rPr>
        <w:t>.</w:t>
      </w:r>
      <w:r w:rsidRPr="009741BF">
        <w:rPr>
          <w:rFonts w:ascii="Times New Roman" w:hAnsi="Times New Roman"/>
          <w:sz w:val="28"/>
          <w:szCs w:val="28"/>
        </w:rPr>
        <w:t xml:space="preserve"> Прибыль в сумме </w:t>
      </w:r>
      <w:r w:rsidR="001A5CE6">
        <w:rPr>
          <w:rFonts w:ascii="Times New Roman" w:hAnsi="Times New Roman"/>
          <w:sz w:val="28"/>
          <w:szCs w:val="28"/>
        </w:rPr>
        <w:t>443,5</w:t>
      </w:r>
      <w:r w:rsidRPr="009741BF">
        <w:rPr>
          <w:rFonts w:ascii="Times New Roman" w:hAnsi="Times New Roman"/>
          <w:sz w:val="28"/>
          <w:szCs w:val="28"/>
        </w:rPr>
        <w:t xml:space="preserve"> млн. рублей получ</w:t>
      </w:r>
      <w:r w:rsidR="001A5CE6">
        <w:rPr>
          <w:rFonts w:ascii="Times New Roman" w:hAnsi="Times New Roman"/>
          <w:sz w:val="28"/>
          <w:szCs w:val="28"/>
        </w:rPr>
        <w:t>или 71,4%</w:t>
      </w:r>
      <w:r w:rsidRPr="009741BF">
        <w:rPr>
          <w:rFonts w:ascii="Times New Roman" w:hAnsi="Times New Roman"/>
          <w:sz w:val="28"/>
          <w:szCs w:val="28"/>
        </w:rPr>
        <w:t xml:space="preserve"> предприятий, </w:t>
      </w:r>
      <w:r>
        <w:rPr>
          <w:rFonts w:ascii="Times New Roman" w:hAnsi="Times New Roman"/>
          <w:sz w:val="28"/>
          <w:szCs w:val="28"/>
        </w:rPr>
        <w:t xml:space="preserve">оставшимися </w:t>
      </w:r>
      <w:r w:rsidRPr="009741BF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ями</w:t>
      </w:r>
      <w:r w:rsidRPr="009741BF">
        <w:rPr>
          <w:rFonts w:ascii="Times New Roman" w:hAnsi="Times New Roman"/>
          <w:sz w:val="28"/>
          <w:szCs w:val="28"/>
        </w:rPr>
        <w:t xml:space="preserve"> получен убыток в сумме 17,</w:t>
      </w:r>
      <w:r w:rsidR="001A5CE6">
        <w:rPr>
          <w:rFonts w:ascii="Times New Roman" w:hAnsi="Times New Roman"/>
          <w:sz w:val="28"/>
          <w:szCs w:val="28"/>
        </w:rPr>
        <w:t>8</w:t>
      </w:r>
      <w:r w:rsidRPr="009741BF">
        <w:rPr>
          <w:rFonts w:ascii="Times New Roman" w:hAnsi="Times New Roman"/>
          <w:sz w:val="28"/>
          <w:szCs w:val="28"/>
        </w:rPr>
        <w:t xml:space="preserve"> млн. рублей. </w:t>
      </w:r>
    </w:p>
    <w:p w14:paraId="20B0F893" w14:textId="7012E55B" w:rsidR="00F9157B" w:rsidRPr="009741BF" w:rsidRDefault="00F9157B" w:rsidP="00F91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</w:t>
      </w:r>
      <w:r w:rsidR="001A5CE6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2019 года составила </w:t>
      </w:r>
      <w:r w:rsidR="001A5CE6">
        <w:rPr>
          <w:rFonts w:ascii="Times New Roman" w:hAnsi="Times New Roman"/>
          <w:sz w:val="28"/>
          <w:szCs w:val="28"/>
        </w:rPr>
        <w:t>728,9</w:t>
      </w:r>
      <w:r>
        <w:rPr>
          <w:rFonts w:ascii="Times New Roman" w:hAnsi="Times New Roman"/>
          <w:sz w:val="28"/>
          <w:szCs w:val="28"/>
        </w:rPr>
        <w:t xml:space="preserve"> млн. рублей. Размер кредиторской задолженности в </w:t>
      </w:r>
      <w:r w:rsidR="001A5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,9 раза превышает дебиторскую задолженность - </w:t>
      </w:r>
      <w:r w:rsidR="001A5CE6">
        <w:rPr>
          <w:rFonts w:ascii="Times New Roman" w:hAnsi="Times New Roman"/>
          <w:sz w:val="28"/>
          <w:szCs w:val="28"/>
        </w:rPr>
        <w:t>2107,3</w:t>
      </w:r>
      <w:r>
        <w:rPr>
          <w:rFonts w:ascii="Times New Roman" w:hAnsi="Times New Roman"/>
          <w:sz w:val="28"/>
          <w:szCs w:val="28"/>
        </w:rPr>
        <w:t xml:space="preserve"> млн. рублей.</w:t>
      </w:r>
    </w:p>
    <w:p w14:paraId="735BB5D4" w14:textId="21604D77" w:rsidR="002505AD" w:rsidRDefault="002505AD" w:rsidP="00D6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</w:t>
      </w: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округа)</w:t>
      </w: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2019 года поступило 1382,3 млн. рублей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74,3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аналогичном периоде 2018 года.</w:t>
      </w: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налоговых и неналоговых доходов приходится 22,4% общей суммы поступлений (в аналогичном периоде 2018 года - 22,5%).</w:t>
      </w:r>
    </w:p>
    <w:p w14:paraId="5A10D7BE" w14:textId="4BCC0FCE" w:rsidR="00F9157B" w:rsidRDefault="002505AD" w:rsidP="00D6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доходная часть бюджета округа исполнена на 70,9% к годовым бюджетным назначениям (запланировано </w:t>
      </w:r>
      <w:r w:rsid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1 949,9 млн. рублей). </w:t>
      </w:r>
    </w:p>
    <w:p w14:paraId="1716968B" w14:textId="79A5C5A6" w:rsidR="00FF0696" w:rsidRPr="00FF0696" w:rsidRDefault="00FF0696" w:rsidP="00FF0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план расходов бюджета округа на 2019 год утвержден в сумме 1714,1 млн.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октября 2019 года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уточненный план по сравнению с первоначально принятым бюджетом на 415,2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2129,3 млн. рублей. </w:t>
      </w:r>
    </w:p>
    <w:p w14:paraId="513172F9" w14:textId="3F9E485D" w:rsidR="00FF0696" w:rsidRPr="00FF0696" w:rsidRDefault="00FF0696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объем дефицита местного бюджета на 2019 год составил 17,5 млн. рублей. С учетом направленных в качестве дополнительного финансирования остатков средств местного и краевого бюджетов в сумме 160,0 млн. рублей, возврата в краевой бюджет остатков неиспользованных в 2018 году федеральных и краевых средств в сумме 1,9 млн. рублей, зачисления в местный бюджет остатков целевых субсидий, неиспользованных бюджетными учреждениями Петровского городского округа в сумме 0,1 млн. рублей, дефицит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до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179,3 млн. рублей.</w:t>
      </w:r>
    </w:p>
    <w:p w14:paraId="3F9727D4" w14:textId="668CF402" w:rsidR="00FF0696" w:rsidRDefault="00FF0696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местного бюджета на 9 месяцев 2019 года сформирован в объеме 1499,1 млн.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исполнение сложилось в сумме 1407,6 млн. рублей или 66,1% к уточненному годовому плану, что выше показателя за аналогичный период прошлого года на 4,8%.</w:t>
      </w:r>
    </w:p>
    <w:p w14:paraId="704FBF2C" w14:textId="4D8C4500" w:rsidR="002505AD" w:rsidRDefault="00FF0696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местного бюджета осуществлялось в рамках реализации 15 муниципальных программ 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муниципальных программ)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епрограммная часть занимает 2,7% от общего объема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E8BE1" w14:textId="0E0685BD" w:rsidR="00FF0696" w:rsidRPr="00FF0696" w:rsidRDefault="00FF0696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ходе реализации мероприятий </w:t>
      </w:r>
      <w:r w:rsidRPr="00FF0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завершена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проектов, основанных на местных инициативах: ремонтные работы в спортивных залах сел Благодатное, Мартыновка, </w:t>
      </w:r>
      <w:r w:rsidR="00E1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стадионе села Сухая Буйвола,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 культуры сел Ореховка, Сухая Буйвола, </w:t>
      </w:r>
      <w:r w:rsidR="00B4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росянка</w:t>
      </w:r>
      <w:r w:rsidR="001E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построена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спортивная площадка в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с.Высоцком, благоуст</w:t>
      </w:r>
      <w:r w:rsidR="00B4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роены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B43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селах Констан</w:t>
      </w:r>
      <w:r w:rsidR="00526D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иновское, Гофицкое, Донская Балка, Николина Балка, Шведино, г. Светлоград. </w:t>
      </w:r>
    </w:p>
    <w:p w14:paraId="1088FDB3" w14:textId="0EC34776" w:rsidR="00FF0696" w:rsidRPr="00FF0696" w:rsidRDefault="00FF0696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округе решена проблема доступности </w:t>
      </w:r>
      <w:r w:rsidRPr="0089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2019 года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сады посещают 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>3287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для зачисления в детские сады состоит 486 детей в возрасте от 0 до 3 лет (в городе - 385 детей, в селах - 101 ребенок).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1 до 7 лет, состоящих на учете для определения в дошкольные образовательные организации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4,6%.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2797006" w14:textId="108949DC" w:rsidR="00FF0696" w:rsidRPr="00FF0696" w:rsidRDefault="008909D4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октября 2019 года в</w:t>
      </w:r>
      <w:r w:rsidR="00FF0696"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696" w:rsidRPr="0089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общеобразовательных организациях</w:t>
      </w:r>
      <w:r w:rsidR="00FF0696"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обучается 657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0696"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На протяжении всего периода проведения государственной итоговой аттестации в форме ЕГЭ округ показывает стабильные результаты, в 2019 году 99,12% выпускников сдали единый государственный экзамен по русскому языку и математике. </w:t>
      </w:r>
    </w:p>
    <w:p w14:paraId="7D7029CA" w14:textId="5AA56CCE" w:rsidR="002505AD" w:rsidRDefault="00FF0696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регионального проекта Ставропольского края (далее - региональный проект) «Современная школа» </w:t>
      </w:r>
      <w:r w:rsidR="00172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172F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цифрового и гуманитарного профилей «Точка роста» в 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17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Сухая Буйвола и 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6 села 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Гофицкое. </w:t>
      </w:r>
      <w:r w:rsidR="00172F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2F07"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регионального проекта «Успех каждого ребенка»</w:t>
      </w:r>
      <w:r w:rsidR="0017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12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172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Николина Балка 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ремонт спортивного зала</w:t>
      </w:r>
      <w:r w:rsidR="00526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СОШ №10 села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Донская Балка </w:t>
      </w:r>
      <w:r w:rsidR="008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оборудование для спортивного </w:t>
      </w:r>
      <w:r w:rsidR="005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</w:t>
      </w:r>
      <w:r w:rsidRPr="00FF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D4A7D" w14:textId="134AFCE7" w:rsidR="00190D50" w:rsidRPr="00190D50" w:rsidRDefault="00190D50" w:rsidP="00190D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190D50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Летним отдыхом и трудовой занятостью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охвачено 98,2% учащихся общеобразовательных организаций.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Во время летних каникул на базе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общеобразовательных школ и учреждений дополнительного образования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действовали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22 лагеря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, в которых был организован отдых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1503 детей,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в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>загородн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ом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лагер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е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«Родничок»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отдохнули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630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ребят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. В работе ученических бригад и трудовых объединений,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в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прохождении летней практики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был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>занят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2441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>учащи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й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ся. Во взаимодействии с ГКУ «Центр занятости Петровского района»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обеспечено трудоустройство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107 школьников. </w:t>
      </w:r>
    </w:p>
    <w:p w14:paraId="260F68DD" w14:textId="69AE755D" w:rsidR="00190D50" w:rsidRPr="00190D50" w:rsidRDefault="00AD1682" w:rsidP="001E3B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AD1682">
        <w:rPr>
          <w:rFonts w:ascii="Times New Roman" w:eastAsia="Lucida Sans Unicode" w:hAnsi="Times New Roman" w:cs="Tahoma"/>
          <w:sz w:val="28"/>
          <w:szCs w:val="28"/>
          <w:lang w:eastAsia="ru-RU"/>
        </w:rPr>
        <w:t>В отчетном периоде проведено 105 массовых молодежных мероприятий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во всех населенных пунктах округ</w:t>
      </w:r>
      <w:r w:rsidRPr="00AD1682">
        <w:rPr>
          <w:rFonts w:ascii="Times New Roman" w:eastAsia="Lucida Sans Unicode" w:hAnsi="Times New Roman" w:cs="Tahoma"/>
          <w:sz w:val="28"/>
          <w:szCs w:val="28"/>
          <w:lang w:eastAsia="ru-RU"/>
        </w:rPr>
        <w:t>, о</w:t>
      </w:r>
      <w:r w:rsidR="00190D50"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хват </w:t>
      </w:r>
      <w:r w:rsidR="00190D50" w:rsidRPr="00190D50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молодежи</w:t>
      </w:r>
      <w:r w:rsidR="00190D50"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AD1682">
        <w:rPr>
          <w:rFonts w:ascii="Times New Roman" w:eastAsia="Lucida Sans Unicode" w:hAnsi="Times New Roman" w:cs="Tahoma"/>
          <w:sz w:val="28"/>
          <w:szCs w:val="28"/>
          <w:lang w:eastAsia="ru-RU"/>
        </w:rPr>
        <w:t>данными мероприятиями -</w:t>
      </w:r>
      <w:r w:rsidR="00190D50"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AD1682">
        <w:rPr>
          <w:rFonts w:ascii="Times New Roman" w:eastAsia="Lucida Sans Unicode" w:hAnsi="Times New Roman" w:cs="Tahoma"/>
          <w:sz w:val="28"/>
          <w:szCs w:val="28"/>
          <w:lang w:eastAsia="ru-RU"/>
        </w:rPr>
        <w:t>68</w:t>
      </w:r>
      <w:r w:rsidR="00190D50"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%. Молодежные делегации округа принимали участие в мероприятиях </w:t>
      </w:r>
      <w:r w:rsidRPr="00AD1682">
        <w:rPr>
          <w:rFonts w:ascii="Times New Roman" w:eastAsia="Lucida Sans Unicode" w:hAnsi="Times New Roman" w:cs="Tahoma"/>
          <w:sz w:val="28"/>
          <w:szCs w:val="28"/>
          <w:lang w:eastAsia="ru-RU"/>
        </w:rPr>
        <w:t>регионального и международного</w:t>
      </w:r>
      <w:r w:rsidR="00190D50"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уровн</w:t>
      </w:r>
      <w:r w:rsidRPr="00AD1682">
        <w:rPr>
          <w:rFonts w:ascii="Times New Roman" w:eastAsia="Lucida Sans Unicode" w:hAnsi="Times New Roman" w:cs="Tahoma"/>
          <w:sz w:val="28"/>
          <w:szCs w:val="28"/>
          <w:lang w:eastAsia="ru-RU"/>
        </w:rPr>
        <w:t>ей</w:t>
      </w:r>
      <w:r w:rsidR="00190D50"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, проходивших в Ставропольском крае. </w:t>
      </w:r>
      <w:r w:rsidR="001E3B14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По состоянию на 01 октября текущего года в округе зарегистрировано 8678 членов волонтерского движения, которые приняли участие в 76 мероприятиях патриотической, профилактической, творческой направленности. </w:t>
      </w:r>
    </w:p>
    <w:p w14:paraId="3836BCC1" w14:textId="2967264E" w:rsidR="00190D50" w:rsidRPr="00190D50" w:rsidRDefault="00190D50" w:rsidP="00190D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В </w:t>
      </w:r>
      <w:r w:rsidR="00E13847" w:rsidRPr="00E1384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январе - сентябре 2019 года 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проведено </w:t>
      </w:r>
      <w:r w:rsidR="00E13847" w:rsidRPr="00E13847">
        <w:rPr>
          <w:rFonts w:ascii="Times New Roman" w:eastAsia="Lucida Sans Unicode" w:hAnsi="Times New Roman" w:cs="Tahoma"/>
          <w:sz w:val="28"/>
          <w:szCs w:val="28"/>
          <w:lang w:eastAsia="ru-RU"/>
        </w:rPr>
        <w:t>44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190D50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физкультурно-спортивных мероприяти</w:t>
      </w:r>
      <w:r w:rsidR="00E13847" w:rsidRPr="00E13847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я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, участие в которых приняли </w:t>
      </w:r>
      <w:r w:rsidR="00E13847" w:rsidRPr="00E13847">
        <w:rPr>
          <w:rFonts w:ascii="Times New Roman" w:eastAsia="Lucida Sans Unicode" w:hAnsi="Times New Roman" w:cs="Tahoma"/>
          <w:sz w:val="28"/>
          <w:szCs w:val="28"/>
          <w:lang w:eastAsia="ru-RU"/>
        </w:rPr>
        <w:t>9760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человек. Спортсмены округа, в том числе спортсмены с поражением опорно-двигательного аппарата, приняли участие в </w:t>
      </w:r>
      <w:r w:rsidR="00371470" w:rsidRPr="00371470">
        <w:rPr>
          <w:rFonts w:ascii="Times New Roman" w:eastAsia="Lucida Sans Unicode" w:hAnsi="Times New Roman" w:cs="Tahoma"/>
          <w:sz w:val="28"/>
          <w:szCs w:val="28"/>
          <w:lang w:eastAsia="ru-RU"/>
        </w:rPr>
        <w:t>20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региональных, </w:t>
      </w:r>
      <w:r w:rsidR="00371470" w:rsidRPr="00371470">
        <w:rPr>
          <w:rFonts w:ascii="Times New Roman" w:eastAsia="Lucida Sans Unicode" w:hAnsi="Times New Roman" w:cs="Tahoma"/>
          <w:sz w:val="28"/>
          <w:szCs w:val="28"/>
          <w:lang w:eastAsia="ru-RU"/>
        </w:rPr>
        <w:t>2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межрегиональных и </w:t>
      </w:r>
      <w:r w:rsidR="00371470" w:rsidRPr="00371470">
        <w:rPr>
          <w:rFonts w:ascii="Times New Roman" w:eastAsia="Lucida Sans Unicode" w:hAnsi="Times New Roman" w:cs="Tahoma"/>
          <w:sz w:val="28"/>
          <w:szCs w:val="28"/>
          <w:lang w:eastAsia="ru-RU"/>
        </w:rPr>
        <w:t>6</w:t>
      </w:r>
      <w:r w:rsidRPr="00190D5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Всероссийских соревнованиях.</w:t>
      </w:r>
    </w:p>
    <w:p w14:paraId="26F4031E" w14:textId="3D7AA94C" w:rsidR="00190D50" w:rsidRPr="00190D50" w:rsidRDefault="00E13847" w:rsidP="00190D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13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="00190D50" w:rsidRPr="001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 «Спорт-норма жизни» в с.Шангала и пос.Прикалаусский созда</w:t>
      </w:r>
      <w:r w:rsidRPr="00E138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3F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0D50" w:rsidRPr="001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спортивные площадки</w:t>
      </w:r>
      <w:r w:rsidRPr="00E1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BC10F" w14:textId="056E385A" w:rsidR="002505AD" w:rsidRPr="006F4842" w:rsidRDefault="00190D50" w:rsidP="00190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9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числе главных </w:t>
      </w:r>
      <w:r w:rsidRPr="0019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культурных событий </w:t>
      </w:r>
      <w:r w:rsidRPr="00190D5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9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православный детский казачий фестиваль «Будущее России – это мы», фестиваль фольклорного искусства «Играй, гармонь - звени, частушка», </w:t>
      </w:r>
      <w:r w:rsidRPr="0019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фестиваль-конкурс хоров ветеранов округа «Поющие сердцем и душой». В ходе реализации регионального проекта «Культурная среда» </w:t>
      </w:r>
      <w:r w:rsid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1046A0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1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здания Дома культуры с. Шведино</w:t>
      </w:r>
      <w:r w:rsidR="00806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</w:t>
      </w:r>
      <w:r w:rsidR="00104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80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созданию муниципальной модельной библиотеки. </w:t>
      </w:r>
      <w:r w:rsidR="00EE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учреждений дополнительного образования в сфере культуры </w:t>
      </w:r>
      <w:r w:rsid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EE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</w:t>
      </w:r>
      <w:r w:rsidR="00437ADE">
        <w:rPr>
          <w:rFonts w:ascii="Times New Roman" w:eastAsia="Times New Roman" w:hAnsi="Times New Roman" w:cs="Times New Roman"/>
          <w:sz w:val="28"/>
          <w:szCs w:val="28"/>
          <w:lang w:eastAsia="ru-RU"/>
        </w:rPr>
        <w:t>26 выставках и конкурсах как местного, так и регионального, всероссийского и международного уровней.</w:t>
      </w:r>
    </w:p>
    <w:p w14:paraId="49FC9BCC" w14:textId="289F4346" w:rsidR="00D64298" w:rsidRPr="002C61BB" w:rsidRDefault="00D64298" w:rsidP="00D642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bookmarkStart w:id="3" w:name="_Hlk528678702"/>
      <w:bookmarkEnd w:id="2"/>
      <w:r w:rsidRPr="00CB37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Среднемесячная заработная плата</w:t>
      </w:r>
      <w:r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списочного состава организаций, не относящихся к субъектам малого и среднего предпринимательства, за январь</w:t>
      </w:r>
      <w:r w:rsidR="002C61BB"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CB37B2"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>август</w:t>
      </w:r>
      <w:r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увеличилась до </w:t>
      </w:r>
      <w:r w:rsidR="00CB37B2"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>26551,2</w:t>
      </w:r>
      <w:r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</w:t>
      </w:r>
      <w:r w:rsidR="002C61BB"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темпе роста </w:t>
      </w:r>
      <w:r w:rsidR="00CB37B2"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>104,9</w:t>
      </w:r>
      <w:r w:rsidRPr="00CB37B2">
        <w:rPr>
          <w:rFonts w:ascii="Times New Roman" w:eastAsia="Calibri" w:hAnsi="Times New Roman" w:cs="Times New Roman"/>
          <w:sz w:val="28"/>
          <w:szCs w:val="28"/>
          <w:lang w:eastAsia="ru-RU"/>
        </w:rPr>
        <w:t>% к показателю аналогичного периода прошлого года.</w:t>
      </w:r>
      <w:r w:rsidRPr="002C61BB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</w:p>
    <w:p w14:paraId="7AF1C91B" w14:textId="77777777" w:rsidR="00D64298" w:rsidRPr="002C61BB" w:rsidRDefault="00D64298" w:rsidP="00D642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BD1582" w14:textId="77777777" w:rsidR="00D64298" w:rsidRPr="002C61BB" w:rsidRDefault="00D64298" w:rsidP="00D64298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C61B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Среднемесячная заработная плата по основным отраслям экономики</w:t>
      </w:r>
    </w:p>
    <w:p w14:paraId="78EEEA13" w14:textId="0507C567" w:rsidR="00D64298" w:rsidRPr="002C61BB" w:rsidRDefault="00D64298" w:rsidP="00D64298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C61B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 январь- </w:t>
      </w:r>
      <w:r w:rsidR="00CB37B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август</w:t>
      </w:r>
    </w:p>
    <w:p w14:paraId="0096D08B" w14:textId="77777777" w:rsidR="00D64298" w:rsidRPr="002C61BB" w:rsidRDefault="00D64298" w:rsidP="00D64298">
      <w:pPr>
        <w:widowControl w:val="0"/>
        <w:suppressAutoHyphens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276"/>
        <w:gridCol w:w="992"/>
      </w:tblGrid>
      <w:tr w:rsidR="00D64298" w:rsidRPr="002C61BB" w14:paraId="457243F4" w14:textId="77777777" w:rsidTr="00EF3360">
        <w:trPr>
          <w:cantSplit/>
          <w:trHeight w:val="8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1EDE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13B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Отрасли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DD3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4A61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Темп роста, %</w:t>
            </w:r>
          </w:p>
        </w:tc>
      </w:tr>
      <w:tr w:rsidR="00D64298" w:rsidRPr="002C61BB" w14:paraId="75FA08EC" w14:textId="77777777" w:rsidTr="00EF3360">
        <w:trPr>
          <w:cantSplit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C3E1" w14:textId="77777777" w:rsidR="00D64298" w:rsidRPr="002C61BB" w:rsidRDefault="00D64298" w:rsidP="00D6429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938" w14:textId="77777777" w:rsidR="00D64298" w:rsidRPr="002C61BB" w:rsidRDefault="00D64298" w:rsidP="00D6429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1F4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2018 год</w:t>
            </w:r>
          </w:p>
          <w:p w14:paraId="757D217D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ACEC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2019 год</w:t>
            </w:r>
          </w:p>
          <w:p w14:paraId="6948C4F4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213" w14:textId="77777777" w:rsidR="00D64298" w:rsidRPr="002C61BB" w:rsidRDefault="00D64298" w:rsidP="00D6429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64298" w:rsidRPr="002C61BB" w14:paraId="4B92FCF9" w14:textId="77777777" w:rsidTr="00EF336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484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C51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Всего по обследуемым отраслям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CA64" w14:textId="724FA4DC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12570" w14:textId="117E34E4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26551,2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5FBA0" w14:textId="750C946C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104,9</w:t>
            </w:r>
          </w:p>
        </w:tc>
      </w:tr>
      <w:tr w:rsidR="00D64298" w:rsidRPr="002C61BB" w14:paraId="39544FB4" w14:textId="77777777" w:rsidTr="00EF336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79C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CA1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B7F9" w14:textId="545F1736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24470,4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C358" w14:textId="7286F50F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D26C" w14:textId="1DD8595D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110,0</w:t>
            </w:r>
          </w:p>
        </w:tc>
      </w:tr>
      <w:tr w:rsidR="00D64298" w:rsidRPr="002C61BB" w14:paraId="72C7CE26" w14:textId="77777777" w:rsidTr="00EF336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764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0B7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99D9" w14:textId="5E0B84A7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55160,1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2EA9A" w14:textId="594BD2D4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53753,1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0ECD" w14:textId="601CA3F8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97,4</w:t>
            </w:r>
          </w:p>
        </w:tc>
      </w:tr>
      <w:tr w:rsidR="00D64298" w:rsidRPr="002C61BB" w14:paraId="217FADA2" w14:textId="77777777" w:rsidTr="00EF3360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56C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68D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Обрабатывающие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B82" w14:textId="296E64B0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26998,8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B1D" w14:textId="1F210AD8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CEA" w14:textId="78D8ABBD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105,4</w:t>
            </w:r>
          </w:p>
        </w:tc>
      </w:tr>
      <w:tr w:rsidR="00D64298" w:rsidRPr="002C61BB" w14:paraId="7DA0E06F" w14:textId="77777777" w:rsidTr="00EF3360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469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1B4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CCE7" w14:textId="1FF98C9C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26770,8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26A79" w14:textId="1821E764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23517,4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7268" w14:textId="16AC96E1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87,8</w:t>
            </w:r>
          </w:p>
        </w:tc>
      </w:tr>
      <w:tr w:rsidR="00D64298" w:rsidRPr="002C61BB" w14:paraId="2BF87E12" w14:textId="77777777" w:rsidTr="00EF3360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EAB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1D6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61606" w14:textId="50C9BD5F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EAFA" w14:textId="3C186E96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49F7" w14:textId="053F69AF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104,1</w:t>
            </w:r>
          </w:p>
        </w:tc>
      </w:tr>
      <w:tr w:rsidR="00D64298" w:rsidRPr="002C61BB" w14:paraId="47C4C130" w14:textId="77777777" w:rsidTr="00EF3360">
        <w:trPr>
          <w:cantSplit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3D3F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961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32DF" w14:textId="006CDB36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A4651" w14:textId="2912E955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58D5" w14:textId="3B029F7B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98,6</w:t>
            </w:r>
          </w:p>
        </w:tc>
      </w:tr>
      <w:tr w:rsidR="00D64298" w:rsidRPr="002C61BB" w14:paraId="712ACAE6" w14:textId="77777777" w:rsidTr="00EF3360">
        <w:trPr>
          <w:cantSplit/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829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620D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4871" w14:textId="103DEB3F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18591,1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E7F9" w14:textId="2241794E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19971,4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1BE4" w14:textId="01A44CE7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107,4</w:t>
            </w:r>
          </w:p>
        </w:tc>
      </w:tr>
      <w:tr w:rsidR="00D64298" w:rsidRPr="002C61BB" w14:paraId="06FB8931" w14:textId="77777777" w:rsidTr="00EF3360">
        <w:trPr>
          <w:cantSplit/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7ED" w14:textId="77777777" w:rsidR="00D64298" w:rsidRPr="002C61BB" w:rsidRDefault="00D64298" w:rsidP="00D642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801" w14:textId="77777777" w:rsidR="00D64298" w:rsidRPr="002C61BB" w:rsidRDefault="00D64298" w:rsidP="00D6429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C61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2E15" w14:textId="4560ECC0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23700,7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E605" w14:textId="42ADA295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25404,4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3A89" w14:textId="56F6B116" w:rsidR="00D64298" w:rsidRPr="002C61BB" w:rsidRDefault="00CB37B2" w:rsidP="00D642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107,2</w:t>
            </w:r>
          </w:p>
        </w:tc>
      </w:tr>
    </w:tbl>
    <w:p w14:paraId="7ACAD418" w14:textId="77777777" w:rsidR="00D64298" w:rsidRPr="002C61BB" w:rsidRDefault="00D64298" w:rsidP="00D64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379EDE" w14:textId="453C9E55" w:rsidR="00D64298" w:rsidRPr="002C61BB" w:rsidRDefault="00D64298" w:rsidP="00D64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официальным статистическим данным по состоянию на 01 </w:t>
      </w:r>
      <w:r w:rsidR="002C61BB"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</w:t>
      </w:r>
      <w:r w:rsidR="002C61BB"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>сохраня</w:t>
      </w:r>
      <w:r w:rsidR="00DE0F3F">
        <w:rPr>
          <w:rFonts w:ascii="Times New Roman" w:eastAsia="Calibri" w:hAnsi="Times New Roman" w:cs="Times New Roman"/>
          <w:sz w:val="28"/>
          <w:szCs w:val="28"/>
          <w:lang w:eastAsia="ru-RU"/>
        </w:rPr>
        <w:t>лась</w:t>
      </w:r>
      <w:r w:rsidR="002C61BB"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просроченная задолженность по заработной плате </w:t>
      </w:r>
      <w:r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>АО «Светлоградский маслоэкстракционный завод» в сумме 16,1 млн. рублей.</w:t>
      </w:r>
    </w:p>
    <w:p w14:paraId="3AD6981F" w14:textId="57C99B22" w:rsidR="00D64298" w:rsidRPr="006F4842" w:rsidRDefault="00D64298" w:rsidP="00D642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 CYR"/>
          <w:b/>
          <w:color w:val="000000"/>
          <w:sz w:val="28"/>
          <w:szCs w:val="28"/>
          <w:highlight w:val="yellow"/>
          <w:lang w:eastAsia="ru-RU"/>
        </w:rPr>
      </w:pPr>
      <w:r w:rsidRPr="002C61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Среднесписочная численность</w:t>
      </w:r>
      <w:r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организаций, не относящихся к субъектам малого и среднего предпринимательства (без внешних совместителей) за </w:t>
      </w:r>
      <w:r w:rsidR="00222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 2019 года составила 105</w:t>
      </w:r>
      <w:r w:rsidR="00222827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при темпе роста </w:t>
      </w:r>
      <w:r w:rsidR="00222827">
        <w:rPr>
          <w:rFonts w:ascii="Times New Roman" w:eastAsia="Calibri" w:hAnsi="Times New Roman" w:cs="Times New Roman"/>
          <w:sz w:val="28"/>
          <w:szCs w:val="28"/>
          <w:lang w:eastAsia="ru-RU"/>
        </w:rPr>
        <w:t>100,5</w:t>
      </w:r>
      <w:r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>% к показателю 20</w:t>
      </w:r>
      <w:r w:rsidR="001046A0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2C6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(в сопоставимой структуре отчитывающихся предприятий).</w:t>
      </w:r>
      <w:r w:rsidR="002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969F33" w14:textId="0E01C5D4" w:rsidR="00D64298" w:rsidRPr="006F4842" w:rsidRDefault="00D64298" w:rsidP="00D642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4842">
        <w:rPr>
          <w:rFonts w:ascii="Times New Roman" w:eastAsia="Calibri" w:hAnsi="Times New Roman" w:cs="Courier New CYR"/>
          <w:b/>
          <w:color w:val="000000"/>
          <w:sz w:val="28"/>
          <w:szCs w:val="28"/>
          <w:lang w:eastAsia="ru-RU"/>
        </w:rPr>
        <w:t>Уровень регистрируемой безработицы</w:t>
      </w:r>
      <w:r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 по состоянию на 0</w:t>
      </w:r>
      <w:r w:rsidR="006F4842"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1</w:t>
      </w:r>
      <w:r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 </w:t>
      </w:r>
      <w:r w:rsidR="006F4842"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октября </w:t>
      </w:r>
      <w:r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отчетного года состав</w:t>
      </w:r>
      <w:r w:rsidR="006B1C7F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и</w:t>
      </w:r>
      <w:r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л 1,</w:t>
      </w:r>
      <w:r w:rsidR="006F4842"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3</w:t>
      </w:r>
      <w:r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%</w:t>
      </w:r>
      <w:r w:rsidR="006F4842"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, что соответствует показателю за 9 месяцев </w:t>
      </w:r>
      <w:r w:rsidRPr="006F4842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lastRenderedPageBreak/>
        <w:t xml:space="preserve">2018 года. </w:t>
      </w:r>
      <w:r w:rsidRPr="006F48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учете в ГКУ «Центр занятости населения Петровского района» в качестве безработных состоит 4</w:t>
      </w:r>
      <w:r w:rsidR="006F4842" w:rsidRPr="006F48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61</w:t>
      </w:r>
      <w:r w:rsidRPr="006F48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14:paraId="30436BB8" w14:textId="393AE36E" w:rsidR="00883F2E" w:rsidRPr="00883F2E" w:rsidRDefault="00D64298" w:rsidP="00C42A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528678276"/>
      <w:bookmarkEnd w:id="3"/>
      <w:r w:rsidRPr="001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ряда лет в округе сохраняется негативная</w:t>
      </w:r>
      <w:r w:rsidRPr="0019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демографическая ситуация</w:t>
      </w:r>
      <w:r w:rsidRPr="00192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  <w:r w:rsidRPr="0019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25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январе - </w:t>
      </w:r>
      <w:r w:rsidR="00192555" w:rsidRPr="001925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августе </w:t>
      </w:r>
      <w:r w:rsidRPr="001925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в округе родилось </w:t>
      </w:r>
      <w:r w:rsidR="006B1C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337</w:t>
      </w:r>
      <w:r w:rsidRPr="001925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детей,</w:t>
      </w:r>
      <w:r w:rsidRPr="00192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25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умерло </w:t>
      </w:r>
      <w:r w:rsidR="00192555" w:rsidRPr="001925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6B1C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Pr="001925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4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83F2E" w:rsidRPr="00883F2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результате, коэффициент смертности в расчете на 1000 человек населения (</w:t>
      </w:r>
      <w:r w:rsidR="00883F2E">
        <w:rPr>
          <w:rFonts w:ascii="Times New Roman" w:eastAsia="Calibri" w:hAnsi="Times New Roman" w:cs="Times New Roman"/>
          <w:sz w:val="28"/>
          <w:szCs w:val="28"/>
          <w:lang w:eastAsia="ru-RU"/>
        </w:rPr>
        <w:t>14,9</w:t>
      </w:r>
      <w:r w:rsidR="00883F2E" w:rsidRPr="00883F2E">
        <w:rPr>
          <w:rFonts w:ascii="Times New Roman" w:eastAsia="Calibri" w:hAnsi="Times New Roman" w:cs="Times New Roman"/>
          <w:sz w:val="28"/>
          <w:szCs w:val="28"/>
          <w:lang w:eastAsia="ru-RU"/>
        </w:rPr>
        <w:t>) в 2 раза превышает коэффициент рождаемости (7,</w:t>
      </w:r>
      <w:r w:rsidR="00883F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3F2E" w:rsidRPr="00883F2E">
        <w:rPr>
          <w:rFonts w:ascii="Times New Roman" w:eastAsia="Calibri" w:hAnsi="Times New Roman" w:cs="Times New Roman"/>
          <w:sz w:val="28"/>
          <w:szCs w:val="28"/>
          <w:lang w:eastAsia="ru-RU"/>
        </w:rPr>
        <w:t>). В аналогичном периоде 2018 года коэффициент рождаемости составлял 8,</w:t>
      </w:r>
      <w:r w:rsidR="00C42AA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83F2E" w:rsidRPr="008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1000 человек населения, коэффициент смертности - 14,</w:t>
      </w:r>
      <w:r w:rsidR="00C42AA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83F2E" w:rsidRPr="008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E663B60" w14:textId="600E6855" w:rsidR="00D64298" w:rsidRPr="00192555" w:rsidRDefault="006B1C7F" w:rsidP="00C42A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C42AA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восьми месяцев отчетного года на территорию округа прибыло 1389 человек, выбыло 1545 человек, в результате миграционный отток составил 156 человек (за аналогичный период 2018 года - 351 человек). </w:t>
      </w:r>
    </w:p>
    <w:p w14:paraId="571571B5" w14:textId="77777777" w:rsid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113FB8FB" w14:textId="129E002A" w:rsidR="00C42AAC" w:rsidRPr="00222827" w:rsidRDefault="00C42AAC" w:rsidP="0022282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22282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Таким образом социально-экономическое развитие округа в отчетном периоде характеризуется стабильным развитием социальной сферы, положительной динамикой средней месячной заработной платы одного работающего, увеличением объемов полученной прибыли, </w:t>
      </w:r>
      <w:r w:rsidR="0036501A" w:rsidRPr="00222827">
        <w:rPr>
          <w:rFonts w:ascii="Times New Roman" w:eastAsia="Lucida Sans Unicode" w:hAnsi="Times New Roman" w:cs="Tahoma"/>
          <w:sz w:val="28"/>
          <w:szCs w:val="28"/>
          <w:lang w:eastAsia="ru-RU"/>
        </w:rPr>
        <w:t>объемов</w:t>
      </w:r>
      <w:r w:rsidRPr="0022282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производства отдельных видов сельскохозяйственной продукции, темп роста производства промышленной продукции превышает среднекраевое значение</w:t>
      </w:r>
      <w:r w:rsidR="00803411" w:rsidRPr="0022282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, </w:t>
      </w:r>
      <w:r w:rsidR="001046A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значительно </w:t>
      </w:r>
      <w:r w:rsidR="00803411" w:rsidRPr="00222827">
        <w:rPr>
          <w:rFonts w:ascii="Times New Roman" w:eastAsia="Lucida Sans Unicode" w:hAnsi="Times New Roman" w:cs="Tahoma"/>
          <w:sz w:val="28"/>
          <w:szCs w:val="28"/>
          <w:lang w:eastAsia="ru-RU"/>
        </w:rPr>
        <w:t>увелич</w:t>
      </w:r>
      <w:r w:rsidR="001046A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ился </w:t>
      </w:r>
      <w:r w:rsidR="00803411" w:rsidRPr="00222827">
        <w:rPr>
          <w:rFonts w:ascii="Times New Roman" w:eastAsia="Lucida Sans Unicode" w:hAnsi="Times New Roman" w:cs="Tahoma"/>
          <w:sz w:val="28"/>
          <w:szCs w:val="28"/>
          <w:lang w:eastAsia="ru-RU"/>
        </w:rPr>
        <w:t>объем</w:t>
      </w:r>
      <w:bookmarkStart w:id="5" w:name="_GoBack"/>
      <w:bookmarkEnd w:id="5"/>
      <w:r w:rsidR="00803411" w:rsidRPr="0022282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222827" w:rsidRPr="00222827">
        <w:rPr>
          <w:rFonts w:ascii="Times New Roman" w:eastAsia="Lucida Sans Unicode" w:hAnsi="Times New Roman" w:cs="Tahoma"/>
          <w:sz w:val="28"/>
          <w:szCs w:val="28"/>
          <w:lang w:eastAsia="ru-RU"/>
        </w:rPr>
        <w:t>инвестиций в экономику</w:t>
      </w:r>
      <w:r w:rsidR="00222827" w:rsidRPr="00120644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округа за счет средств бюджетной системы Российской Федерации.</w:t>
      </w:r>
    </w:p>
    <w:p w14:paraId="54A8286F" w14:textId="06721277" w:rsidR="00C42AAC" w:rsidRP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>Вместе с тем сохраняются и негативные тенденции: убыточная деятельность ряда предприятий, наличие просроченной задолженности по заработной плате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, снижение ввода жилых помещений</w:t>
      </w:r>
      <w:r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и сокращение численности населения.</w:t>
      </w:r>
    </w:p>
    <w:p w14:paraId="52240D74" w14:textId="77777777" w:rsidR="00C42AAC" w:rsidRP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>Основными направлениями работы органов местного самоуправления округа в текущем году остаются:</w:t>
      </w:r>
    </w:p>
    <w:p w14:paraId="4C2500E5" w14:textId="1D11066F" w:rsidR="00C42AAC" w:rsidRP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>- формирование благоприятных условий для привлечения инвестиций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и развития предпринимательской активности</w:t>
      </w:r>
      <w:r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>;</w:t>
      </w:r>
    </w:p>
    <w:p w14:paraId="42A01E4B" w14:textId="77777777" w:rsidR="00C42AAC" w:rsidRP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>- обеспечение бюджетной стабильности;</w:t>
      </w:r>
    </w:p>
    <w:p w14:paraId="13B6F991" w14:textId="30F9681B" w:rsidR="00C42AAC" w:rsidRP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- активное участие в реализации федеральных, региональных </w:t>
      </w:r>
      <w:r w:rsidR="0036501A"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проектов </w:t>
      </w:r>
      <w:r w:rsidR="0036501A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и </w:t>
      </w:r>
      <w:r w:rsidRPr="00C42AAC">
        <w:rPr>
          <w:rFonts w:ascii="Times New Roman" w:eastAsia="Lucida Sans Unicode" w:hAnsi="Times New Roman" w:cs="Tahoma"/>
          <w:sz w:val="28"/>
          <w:szCs w:val="28"/>
          <w:lang w:eastAsia="ru-RU"/>
        </w:rPr>
        <w:t>программ.</w:t>
      </w:r>
    </w:p>
    <w:p w14:paraId="6D90ECBD" w14:textId="77777777" w:rsidR="00C42AAC" w:rsidRP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6BD71049" w14:textId="77777777" w:rsidR="00C42AAC" w:rsidRP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3498A3A7" w14:textId="77777777" w:rsidR="00C42AAC" w:rsidRPr="00C42AAC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5ECAFD21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2AAC">
        <w:rPr>
          <w:rFonts w:ascii="Times New Roman" w:eastAsia="Times New Roman" w:hAnsi="Times New Roman" w:cs="Arial"/>
          <w:sz w:val="28"/>
          <w:szCs w:val="28"/>
          <w:lang w:eastAsia="ru-RU"/>
        </w:rPr>
        <w:t>Первый заместитель главы администрации -</w:t>
      </w:r>
    </w:p>
    <w:p w14:paraId="2C5DD56C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2AAC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 финансового управления</w:t>
      </w:r>
    </w:p>
    <w:p w14:paraId="26D1626F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2A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Петровского городского  </w:t>
      </w:r>
    </w:p>
    <w:p w14:paraId="49B9F9C4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2AAC">
        <w:rPr>
          <w:rFonts w:ascii="Times New Roman" w:eastAsia="Times New Roman" w:hAnsi="Times New Roman" w:cs="Arial"/>
          <w:sz w:val="28"/>
          <w:szCs w:val="28"/>
          <w:lang w:eastAsia="ru-RU"/>
        </w:rPr>
        <w:t>округа Ставропольского края                                                   В.П.Сухомлинова</w:t>
      </w:r>
    </w:p>
    <w:p w14:paraId="7EAFABF1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3464314A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02C3BDBA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2A5233E1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2E9D1822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r w:rsidRPr="00C42AAC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исп. Кириленко Л.В. </w:t>
      </w:r>
    </w:p>
    <w:p w14:paraId="5BB38F37" w14:textId="77777777" w:rsidR="00C42AAC" w:rsidRPr="00C42AAC" w:rsidRDefault="00C42AAC" w:rsidP="00C4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r w:rsidRPr="00C42AAC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8(86547)4-61-95</w:t>
      </w:r>
    </w:p>
    <w:p w14:paraId="69DB19E8" w14:textId="77777777" w:rsidR="006279BA" w:rsidRDefault="001046A0"/>
    <w:sectPr w:rsidR="006279BA" w:rsidSect="00BE7BDA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2E7"/>
    <w:multiLevelType w:val="hybridMultilevel"/>
    <w:tmpl w:val="FA1E0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F9"/>
    <w:rsid w:val="000D3A17"/>
    <w:rsid w:val="001046A0"/>
    <w:rsid w:val="00114444"/>
    <w:rsid w:val="00150D90"/>
    <w:rsid w:val="00172F07"/>
    <w:rsid w:val="00190D50"/>
    <w:rsid w:val="00192555"/>
    <w:rsid w:val="001A5CE6"/>
    <w:rsid w:val="001E3B14"/>
    <w:rsid w:val="00213058"/>
    <w:rsid w:val="00222827"/>
    <w:rsid w:val="002505AD"/>
    <w:rsid w:val="002C61BB"/>
    <w:rsid w:val="0036501A"/>
    <w:rsid w:val="00371470"/>
    <w:rsid w:val="00437ADE"/>
    <w:rsid w:val="00480A9A"/>
    <w:rsid w:val="00526DEB"/>
    <w:rsid w:val="0067309D"/>
    <w:rsid w:val="006B1C7F"/>
    <w:rsid w:val="006F4842"/>
    <w:rsid w:val="007864E5"/>
    <w:rsid w:val="007D15F9"/>
    <w:rsid w:val="00803411"/>
    <w:rsid w:val="008065DD"/>
    <w:rsid w:val="00883F2E"/>
    <w:rsid w:val="008909D4"/>
    <w:rsid w:val="009719B7"/>
    <w:rsid w:val="00A230F2"/>
    <w:rsid w:val="00AA41EB"/>
    <w:rsid w:val="00AD1682"/>
    <w:rsid w:val="00B43E4B"/>
    <w:rsid w:val="00BA78DF"/>
    <w:rsid w:val="00BD327F"/>
    <w:rsid w:val="00C22E1D"/>
    <w:rsid w:val="00C3275B"/>
    <w:rsid w:val="00C42AAC"/>
    <w:rsid w:val="00CB37B2"/>
    <w:rsid w:val="00CF691F"/>
    <w:rsid w:val="00D64298"/>
    <w:rsid w:val="00DA18A4"/>
    <w:rsid w:val="00DE0F3F"/>
    <w:rsid w:val="00DE6F25"/>
    <w:rsid w:val="00E05C82"/>
    <w:rsid w:val="00E13847"/>
    <w:rsid w:val="00EE6939"/>
    <w:rsid w:val="00F0549D"/>
    <w:rsid w:val="00F9157B"/>
    <w:rsid w:val="00FF0696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573D"/>
  <w15:chartTrackingRefBased/>
  <w15:docId w15:val="{4B51B6F7-E27E-454B-8E3C-BD9C8D6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Кириленко Лариса Васильевна</cp:lastModifiedBy>
  <cp:revision>18</cp:revision>
  <cp:lastPrinted>2019-11-12T07:05:00Z</cp:lastPrinted>
  <dcterms:created xsi:type="dcterms:W3CDTF">2019-10-17T07:55:00Z</dcterms:created>
  <dcterms:modified xsi:type="dcterms:W3CDTF">2019-11-12T07:36:00Z</dcterms:modified>
</cp:coreProperties>
</file>