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</w:p>
    <w:p>
      <w:pPr>
        <w:pStyle w:val="Normal"/>
        <w:spacing w:lineRule="exact" w:line="283"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 социально-экономическом развитии Петровского городского округа Ставропольского края за первое полугодие 2020 года</w:t>
      </w:r>
      <w:bookmarkStart w:id="0" w:name="_Hlk1033104"/>
      <w:bookmarkEnd w:id="0"/>
    </w:p>
    <w:p>
      <w:pPr>
        <w:pStyle w:val="Normal"/>
        <w:spacing w:lineRule="exact" w:line="283" w:before="0" w:after="0"/>
        <w:ind w:firstLine="709"/>
        <w:jc w:val="both"/>
        <w:rPr>
          <w:rFonts w:ascii="Times New Roman" w:hAnsi="Times New Roman" w:eastAsia="Lucida Sans Unicode" w:cs="Tahoma"/>
          <w:bCs/>
          <w:color w:val="000000"/>
          <w:sz w:val="28"/>
          <w:szCs w:val="28"/>
        </w:rPr>
      </w:pP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>По статистическим данным оборот крупных и средних предприятий, отражающий их коммерческую деятельность, за январь – июнь 2020 года составил 5137,</w:t>
      </w:r>
      <w:r>
        <w:rPr>
          <w:rFonts w:eastAsia="Lucida Sans Unicode" w:cs="Tahoma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 млн. рублей при темпе роста 114,6% к показателю аналогичного периода 2019 года. </w:t>
      </w:r>
      <w:r>
        <w:rPr>
          <w:rFonts w:eastAsia="" w:cs="Times New Roman" w:ascii="Times New Roman" w:hAnsi="Times New Roman" w:eastAsiaTheme="minorEastAsia"/>
          <w:bCs/>
          <w:color w:val="000000"/>
          <w:sz w:val="28"/>
          <w:szCs w:val="28"/>
        </w:rPr>
        <w:t>Ведущее место в экономи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ке остается за промышленностью и сельским хозяйством, на долю которых приходится 80,9% оборота (в аналогичном периоде 2019 года 80,3%).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крупных и средних предприятий (далее – товаров собственного производства) в отчетном периоде составил 3500,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млн. рублей при темпе роста 10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,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</w:t>
      </w:r>
      <w:bookmarkStart w:id="1" w:name="_Hlk519663658"/>
      <w:r>
        <w:rPr>
          <w:rFonts w:eastAsia="Lucida Sans Unicode" w:cs="Tahoma" w:ascii="Times New Roman" w:hAnsi="Times New Roman"/>
          <w:color w:val="000000"/>
          <w:sz w:val="28"/>
          <w:szCs w:val="28"/>
        </w:rPr>
        <w:t>% к показателю за январь-июнь 2019 года</w:t>
      </w:r>
      <w:bookmarkEnd w:id="1"/>
      <w:r>
        <w:rPr>
          <w:rFonts w:eastAsia="Lucida Sans Unicode" w:cs="Tahoma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b/>
          <w:color w:val="000000"/>
          <w:sz w:val="28"/>
          <w:szCs w:val="28"/>
        </w:rPr>
        <w:t xml:space="preserve">По промышленным видам деятельности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отмечается увеличение объемов отгруженных товаров собственного производства с 2859,6 млн. рублей в первом полугодии 201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год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а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до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3060,1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млн. рублей в отчетном периоде. Темп роста производства промышленной продукции 1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07,0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%.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На долю обрабатывающих производств в объеме отгруженных товаров собственного производства промышленных предприятий приходится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57,0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% (в первом полугодии 201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9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года — 56,8%). Объем продукции, отгруженной обрабатывающими предприятиями, в отчетном периоде увеличился до 1743,0 млн. рублей при темпе роста 1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07,3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% к показателю прошлого года (среднекраевое значение — 97,4%). Наиболее динамично в отчетном периоде развивалось производство пищевых продуктов, где рост составил 115,5% к показателю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полугодия 2019 года.</w:t>
      </w:r>
    </w:p>
    <w:p>
      <w:pPr>
        <w:pStyle w:val="Normal"/>
        <w:spacing w:lineRule="exact" w:line="238" w:before="0" w:after="0"/>
        <w:ind w:firstLine="709"/>
        <w:jc w:val="both"/>
        <w:rPr>
          <w:sz w:val="24"/>
          <w:szCs w:val="24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>
      <w:pPr>
        <w:pStyle w:val="Normal"/>
        <w:spacing w:lineRule="exact" w:line="238" w:before="0" w:after="0"/>
        <w:ind w:firstLine="709"/>
        <w:jc w:val="center"/>
        <w:rPr/>
      </w:pPr>
      <w:r>
        <w:rPr>
          <w:rFonts w:eastAsia="Lucida Sans Unicode" w:cs="Tahoma" w:ascii="Times New Roman" w:hAnsi="Times New Roman"/>
          <w:color w:val="000000"/>
          <w:sz w:val="24"/>
          <w:szCs w:val="24"/>
        </w:rPr>
        <w:t>Динамика производства в</w:t>
      </w:r>
      <w:r>
        <w:rPr>
          <w:rFonts w:eastAsia="Lucida Sans Unicode" w:cs="Tahoma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rFonts w:eastAsia="Lucida Sans Unicode" w:cs="Tahoma" w:ascii="Times New Roman" w:hAnsi="Times New Roman"/>
          <w:color w:val="000000"/>
          <w:sz w:val="24"/>
          <w:szCs w:val="24"/>
        </w:rPr>
        <w:t xml:space="preserve">жнейших видов промышленной продукции </w:t>
      </w:r>
    </w:p>
    <w:p>
      <w:pPr>
        <w:pStyle w:val="Normal"/>
        <w:spacing w:lineRule="exact" w:line="238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</w:rPr>
        <w:t xml:space="preserve">за январь-июнь </w:t>
      </w:r>
    </w:p>
    <w:p>
      <w:pPr>
        <w:pStyle w:val="Normal"/>
        <w:spacing w:lineRule="exact" w:line="238" w:before="0" w:after="0"/>
        <w:ind w:firstLine="709"/>
        <w:jc w:val="both"/>
        <w:rPr>
          <w:rFonts w:ascii="Times New Roman" w:hAnsi="Times New Roman" w:eastAsia="Lucida Sans Unicode" w:cs="Tahoma"/>
          <w:color w:val="000000"/>
          <w:sz w:val="24"/>
          <w:szCs w:val="24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1"/>
        <w:gridCol w:w="5401"/>
        <w:gridCol w:w="3284"/>
      </w:tblGrid>
      <w:tr>
        <w:trPr>
          <w:trHeight w:val="867" w:hRule="atLeast"/>
          <w:cantSplit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продукции</w:t>
            </w:r>
          </w:p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Темп роста 2020 г.</w:t>
            </w:r>
          </w:p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 2019 г., %</w:t>
            </w:r>
          </w:p>
        </w:tc>
      </w:tr>
      <w:tr>
        <w:trPr>
          <w:trHeight w:val="255" w:hRule="atLeast"/>
          <w:cantSplit w:val="true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Масло подсолнечное и его фракции нерафинированные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118,6</w:t>
            </w:r>
          </w:p>
        </w:tc>
      </w:tr>
      <w:tr>
        <w:trPr>
          <w:trHeight w:val="255" w:hRule="atLeast"/>
          <w:cantSplit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Мука пшеничная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,8</w:t>
            </w:r>
          </w:p>
        </w:tc>
      </w:tr>
      <w:tr>
        <w:trPr>
          <w:trHeight w:val="270" w:hRule="atLeast"/>
          <w:cantSplit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Мука пшеничная хлебопекарная первого сорта                                                              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106,2</w:t>
            </w:r>
          </w:p>
        </w:tc>
      </w:tr>
      <w:tr>
        <w:trPr>
          <w:trHeight w:val="157" w:hRule="atLeast"/>
          <w:cantSplit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Хлеб и хлебобулочные изделия недлительного хранения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98,4</w:t>
            </w:r>
          </w:p>
        </w:tc>
      </w:tr>
      <w:tr>
        <w:trPr>
          <w:trHeight w:val="157" w:hRule="atLeast"/>
          <w:cantSplit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Корма готовые для сельскохозяйственных животных (кроме муки и гранул из люцерны)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113,4</w:t>
            </w:r>
          </w:p>
        </w:tc>
      </w:tr>
      <w:tr>
        <w:trPr>
          <w:trHeight w:val="157" w:hRule="atLeast"/>
          <w:cantSplit w:val="true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Бороны дисковые       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60,0</w:t>
            </w:r>
          </w:p>
        </w:tc>
      </w:tr>
    </w:tbl>
    <w:p>
      <w:pPr>
        <w:pStyle w:val="Normal"/>
        <w:spacing w:lineRule="exact" w:line="238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>В округе успешно реализуется национальный проект «Производительность труда и поддержка занятости», так ОАО «Светлоградагромаш» в сентябре 2019 года стало участником данного проекта. За время участия в проекте на предприятии реорганизована работа участка производства лемехов, переоборудован и оптимизирован процесс производства, закуплено новое оборудование, на 33% сокращено время изготовления деталей. Мероприятия проекта реализуются при поддержке Федерального Центра Компетенций.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b/>
          <w:color w:val="000000"/>
          <w:sz w:val="28"/>
          <w:szCs w:val="28"/>
        </w:rPr>
        <w:t>Сельскохозяйственными предприятиями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отгружено товаров собственного производства на сумму 275,6 млн. рублей при темпе роста к показателю 2019 года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100,6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%.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Посевная площадь сельскохозяйственных культур под урожай 2020 года (в хозяйствах всех категорий) составляла 105,9 тыс. гектаров, на долю зерновых и зернобобовых культур приходилось 98,0% всех посевных площадей. По состоянию на 01 июля 2020 года было собрано 61,4 тыс. тонн зерновых и зернобобовых культур на площади 35,8 тыс. га. По оперативным данным хозяйствами всех категорий в 2020 году собрано 195,5 тыс. тонн зерновых и зернобобовых культур при средней урожайности 18,7 ц/га (в 2019 году 386,4 тыс. тонн при средней урожайности 31,8 ц/га), производство технических культур снизилось до 6,5 тыс. тонн при средней урожайности 6,7 ц/га. Причинами снижения урожайности послужило отсутствие осадков, отсутствие запасов влаги в метровом слое почвы, весенние заморозки, а также локальные градобои.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сельскохозяйственных организациях округа произведено мяса скота и птицы на убой (в живом весе) 1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2,3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тыс. тонн, что составляет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98,4</w:t>
      </w:r>
      <w:r>
        <w:rPr>
          <w:rFonts w:cs="Times New Roman" w:ascii="Times New Roman" w:hAnsi="Times New Roman"/>
          <w:color w:val="000000"/>
          <w:sz w:val="28"/>
          <w:szCs w:val="28"/>
        </w:rPr>
        <w:t>% к показателю аналогичного периода 2019 года. Производство молока сельскохозяйственных организациях увеличилось до 3,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9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тыс. тонн при темпе роста к показателю первого полугодия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прошлого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 1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3,6%. Надой на 1 фуражную корову увеличился в сравнении с прошлым годом на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7,9</w:t>
      </w:r>
      <w:r>
        <w:rPr>
          <w:rFonts w:cs="Times New Roman" w:ascii="Times New Roman" w:hAnsi="Times New Roman"/>
          <w:color w:val="000000"/>
          <w:sz w:val="28"/>
          <w:szCs w:val="28"/>
        </w:rPr>
        <w:t>% и   достиг 4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435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килограмм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ов </w:t>
      </w:r>
      <w:r>
        <w:rPr>
          <w:rFonts w:cs="Times New Roman" w:ascii="Times New Roman" w:hAnsi="Times New Roman"/>
          <w:color w:val="000000"/>
          <w:sz w:val="28"/>
          <w:szCs w:val="28"/>
        </w:rPr>
        <w:t>(среднекраевое значение - 3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440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килограммов).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 счет средств индивидуального жилищного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строительства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введено в эксплуатацию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3207,0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кв.м общей площади жилья или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44</w:t>
      </w:r>
      <w:r>
        <w:rPr>
          <w:rFonts w:cs="Times New Roman" w:ascii="Times New Roman" w:hAnsi="Times New Roman"/>
          <w:color w:val="000000"/>
          <w:sz w:val="28"/>
          <w:szCs w:val="28"/>
        </w:rPr>
        <w:t>,8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кв.м на 1000 населения, что в 2,1 раза выше значения показателя за аналогичный период прошлого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ходе нового строительства, расширения и реконструкции существующих производственных площадей введены в эксплуатацию        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0,8 тыс.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кв.м торговых площадей и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13 </w:t>
      </w:r>
      <w:r>
        <w:rPr>
          <w:rFonts w:cs="Times New Roman" w:ascii="Times New Roman" w:hAnsi="Times New Roman"/>
          <w:color w:val="000000"/>
          <w:sz w:val="28"/>
          <w:szCs w:val="28"/>
        </w:rPr>
        <w:t>павильонов, предприятие общественного питания на 25 посадочных мест, общетоварные склады общей площадью 1,1 тыс. кв.м., 0,3 км линий электропередачи напряжением до 35 кВ.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По данным мониторинга инвестиционной деятельности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объем инвестиций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в основной капитал за первое полугодие 2020 года по полному кругу хозяйствующих субъектов составил 35</w:t>
      </w:r>
      <w:r>
        <w:rPr>
          <w:rFonts w:eastAsia="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8,1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млн. рублей. Объем инвестиций крупных и средних предприятий </w:t>
      </w:r>
      <w:r>
        <w:rPr>
          <w:rFonts w:cs="Times New Roman" w:ascii="Times New Roman" w:hAnsi="Times New Roman"/>
          <w:color w:val="000000"/>
          <w:sz w:val="28"/>
          <w:szCs w:val="28"/>
        </w:rPr>
        <w:t>160,0 млн. рублей.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</w:t>
      </w:r>
      <w:r>
        <w:rPr>
          <w:rStyle w:val="Style15"/>
          <w:rFonts w:eastAsia="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а </w:t>
      </w:r>
      <w:r>
        <w:rPr>
          <w:rFonts w:cs="Times New Roman" w:ascii="Times New Roman" w:hAnsi="Times New Roman"/>
          <w:color w:val="000000"/>
          <w:sz w:val="28"/>
          <w:szCs w:val="28"/>
        </w:rPr>
        <w:t>территории округа реализуются 1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инвестиционных проектов с сопровождением по принципу «одного окна». </w:t>
      </w:r>
      <w:r>
        <w:rPr>
          <w:rStyle w:val="Style15"/>
          <w:rFonts w:eastAsia="" w:ascii="Times New Roman" w:hAnsi="Times New Roman" w:eastAsiaTheme="minorEastAsia"/>
          <w:color w:val="000000"/>
          <w:sz w:val="28"/>
          <w:szCs w:val="28"/>
        </w:rPr>
        <w:t>В мае 2020 года начата реализация инвестиционного проекта «Добыча песчаников на участке №2 «Северный» месторождения «С</w:t>
      </w:r>
      <w:r>
        <w:rPr>
          <w:rStyle w:val="Style15"/>
          <w:rFonts w:eastAsia="" w:ascii="Times New Roman" w:hAnsi="Times New Roman" w:eastAsiaTheme="minorEastAsia"/>
          <w:color w:val="000000"/>
          <w:sz w:val="28"/>
          <w:szCs w:val="28"/>
        </w:rPr>
        <w:t>В</w:t>
      </w:r>
      <w:r>
        <w:rPr>
          <w:rStyle w:val="Style15"/>
          <w:rFonts w:eastAsia="" w:ascii="Times New Roman" w:hAnsi="Times New Roman" w:eastAsiaTheme="minorEastAsia"/>
          <w:color w:val="000000"/>
          <w:sz w:val="28"/>
          <w:szCs w:val="28"/>
        </w:rPr>
        <w:t>ИНАЯ БАЛКА»». В рамках подготовки к реализации инвестиционного проекта по строительству МАСЗ ООО «Лукойл-Югнефтепродукт» оказана консультационная и информационная поддержка, утверждена схема расположения земельного участка на кадастровом плане территории.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Объем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розничного товарооборота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(через все каналы реализации) в отчетном периоде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снизился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до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1439,9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млн. рублей, оборот общественного питания до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31,3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млн. рублей, темп роста к аналогичному периоду прошлого года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94,9%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и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62,0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% соответственно. Причинами снижения показателей является приостановка работы объектов общественного питания, большей части объектов розничной торговли и розничного рынка в связи с распространением новой корон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вирусной инфекции на территории Российской Федерации.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 состоянию на 01 июля отчетного года на территории округа осуществляли деятельность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2338 </w:t>
      </w:r>
      <w:r>
        <w:rPr>
          <w:rFonts w:ascii="Times New Roman" w:hAnsi="Times New Roman"/>
          <w:color w:val="000000"/>
          <w:sz w:val="28"/>
          <w:szCs w:val="28"/>
        </w:rPr>
        <w:t xml:space="preserve">хозяйствующих субъектов, в том числе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>2087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субъектов малого и среднего бизнеса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(далее — субъектов МСП), из них 1</w:t>
      </w:r>
      <w:r>
        <w:rPr>
          <w:rFonts w:eastAsia="" w:cs="" w:ascii="Times New Roman" w:hAnsi="Times New Roman" w:cstheme="minorBidi" w:eastAsiaTheme="minorEastAsia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865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индивидуальных предпринимателей (</w:t>
      </w:r>
      <w:r>
        <w:rPr>
          <w:rFonts w:eastAsia="" w:cs="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79,0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% от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числа) и 2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юридических лица.</w:t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2" w:name="_Hlk528677365"/>
      <w:bookmarkEnd w:id="2"/>
      <w:r>
        <w:rPr>
          <w:rFonts w:ascii="Times New Roman" w:hAnsi="Times New Roman"/>
          <w:color w:val="000000"/>
          <w:sz w:val="28"/>
          <w:szCs w:val="28"/>
        </w:rPr>
        <w:t>В отчетном периоде государственная поддержка за счет средств бюджета Ставропольского края оказана 5 субъектам МСП, осуществляющим свою деятельность на территории округа. Микрозаймы НМО «Фонд микрофинансирования субъектов малого и среднего предпринимательства в Ставропольском крае» предоставлены 4 субъектам МСП на общую сумму 4420,0 тыс. рублей. ГУП СК «Гарантийный фонд поддержки субъектов малого и среднего предпринимательства в Ставропольском крае» предоставлено 1 поручительство на сумму 12132,8 тыс. рублей. Фондом поддержки предпринимательства в Ставропольском крае 36 предпринимателям была оказана консультационная поддержка.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ГКУ «Центр занятости Петровского района» в рамках реализации программных мероприятий по «самозанятости» в 1 полугодии 2020 года оказана единовременная финансовая помощь при государственной регистрации в качестве индивидуального предпринимателя 1 гражданину в сумме 73,5 тыс. рублей.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Сальдированный финансовый результат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крупных и средних предприятий за январь —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апрель </w:t>
      </w:r>
      <w:r>
        <w:rPr>
          <w:rFonts w:ascii="Times New Roman" w:hAnsi="Times New Roman"/>
          <w:color w:val="000000"/>
          <w:sz w:val="28"/>
          <w:szCs w:val="28"/>
        </w:rPr>
        <w:t xml:space="preserve">2020 года убыток в размере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29,7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рублей. Прибыль в размере 4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,1 млн. рублей получили 38,1% всех предприятий и организаций округа.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состоянию на 01 мая 2020 года дебиторская задолженность сложилась в сумме 1001,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рублей, четыре предприятия имеют просроченную дебиторскую задолженность в размере 16,7 млн. рублей. Кредиторская задолженность имеется в 21 организации и составляет      25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>80,0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рублей, доля просроченной кредиторской задолженности 28,5% в общем объеме кредиторской задолженности.</w:t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3" w:name="_Hlk528678702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>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 Петровского городского округа Ставропольского края (далее – бюджет округа)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 первое полугодие 2020 года поступило           1044,7 млн. рублей, что составляет 45,8% к годовым бюджетным назначениям. По сравнению с аналогичным периодом прошлого года поступление доходов увеличилось 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178,1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млн. рублей. В общей сумме поступлений 20,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% или 213,8 млн. рублей составили налоговые и неналоговые доходы (в первом полугодии 2019 года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21,9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% или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190,0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млн. рублей соответственно). Безвозмездные поступления занимают 79,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% всех доходов бюджета округа.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Первоначальный план расходов бюджета округа на 2020 год утвержден в сумме 2075,1 млн. рублей, уточненный план — 2357,5 млн. рублей. Объем планируемых расходов местного бюджета на 2020 год в течение первого полугодия увеличился по сравнению с первоначально принятым бюджетом на 282,4 млн. рублей. В качестве дополнительного финансирования расходов бюджета округа за истекший период направлено остатков средств, образовавшихся на доходном счете местного бюджета по состоянию на 01 января 2020 года в объеме 51,0 млн. рублей. Остатки собственных средств в данной сумме составили 17,2 млн. рублей, остатки межбюджетных трансфертов за счет средств бюджета Ставропольского края (далее - краевой бюджет) – 33,8 млн. рублей (28,8 млн. руб. на ремонт автомобильных дорог; 5,0 млн. рублей на изготовление проектно-сметной документации на проведение капитального ремонта зданий и сооружений муниципальных учреждений образования, культуры и спорта в сельской местности).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Кроме того, расходы бюджета округа скорректированы в сторону увеличения на сумму 234,8 млн. рублей за счет средств краевого бюджета на ремонт автомобильных дорог, на строительство спортзала МКОУ СОШ № 5, на ремонт здания и ремонт фонтана МКУК ЦДК г.Светлограда, на восстановление воинских захоронений, на выплаты гражданам Российской Федерации, не достигшим совершеннолетия на 3 сентября 1945 года, на предоставление мер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на выплату социального пособия на погребение,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 осуществление ежемесячных выплат на детей в возрасте от трех до семи лет включительно, на предоставление государственной социальной помощи малоимущим семьям, малоимущим одиноко проживающим гражданам, на проведение Всероссийской переписи населения 2020 года.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условиях ухудшения экономической ситуации в связи с распространением коронавирусной инфекции уменьшена расходная часть бюджета округа на сумму 3,4 млн. рублей за счет безвозмездных поступлений и доходов от оказания платных услуг муниципальными учреждениями образования и культуры Петровского городского округа Ставропольского края.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Кассовое исполнение за отчетный период сложилось в сумме 1028,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 или 43,6% к уточненному годовому плану, что выше показателя за аналогичный период прошлого года на 1,8%.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Кассовое исполнение бюджета округа осуществлялось в рамках реализации 15 муниципальных программ Петровского городского округа Ставропольского края. Кассовые расходы на реализацию муниципальных программ по состоянию на 01 июля 2020 года составили 999,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млн. рублей или 43,6% к запланированным на 2020 год. </w:t>
      </w:r>
      <w:r>
        <w:rPr>
          <w:rFonts w:ascii="Times New Roman" w:hAnsi="Times New Roman"/>
          <w:color w:val="000000"/>
          <w:sz w:val="28"/>
          <w:szCs w:val="28"/>
        </w:rPr>
        <w:t>Непрограммная часть занимает 2,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% от общего объема расходов бюджета округа.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отчетном периоде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в ходе реализации мероприятий муниципальных программ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осуществлялась реализация проектов, основанных на местных инициативах. Велись ремонтные работы в спортивном зале села Благодатное, Доме культуры села Шангала, осуществлялось благоустройство территорий в селах Донская Балка, Шведино, Просянка, Гофицкое, Сухая Буйвола, Ореховка, г. Светлоград, приобретен аттракцион для сквера им. А.П. Гайдара в г. Светлоград, выполнены работы по устройству детского спортивного комплекса в парке «Победа» г. Светлоград, выполнен ремонт автомобильных дорог общего пользования в поселках Прикалаусский, Рогатая Балка, обустроены остановочные павильоны в г.Светлоград.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рамках реализации регионального проекта Ставропольского края «Современная школа» в первом полугодии отчетного года велись работы по созданию Центров образования цифрового и гуманитарного профилей «Точка роста» в школах МКОУ СОШ № 2 г. Светлограда и                    МКОУ СОШ № 8 с. Благодатное. В школах поселков Прикалаусский и Рогатая Балка ведется работа по созданию условий для занятий спортом в рамках регионального проекта «Успех каждого ребенка».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>В округе решена проблема доступности</w:t>
      </w:r>
      <w:r>
        <w:rPr>
          <w:rFonts w:eastAsia="Lucida Sans Unicode" w:cs="Tahoma" w:ascii="Times New Roman" w:hAnsi="Times New Roman"/>
          <w:b/>
          <w:color w:val="000000"/>
          <w:sz w:val="28"/>
          <w:szCs w:val="28"/>
        </w:rPr>
        <w:t xml:space="preserve"> дошкольного образования,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при наличии в детских садах 41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36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мест,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детские сады посещают 3379 детей. 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Количество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детей в возрасте от 0 до 4 лет, состоящих на учете для определения в дошкольные образовательные организации, по состоянию на 01 июля 20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20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года составило 368 человек. Доля детей в возрасте от 1 года до 7 лет, охваченных различными формами дошкольного образования, в общей численности детей дошкольного возраста 73,2%.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На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30 июня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2020 года в 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</w:rPr>
        <w:t>общеобразовательных организациях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округа обучалось 65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67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детей. Выпускники 9 классов получили аттестат об основном общем образовании без сдачи основного государственного экзамена. В 2020 году ГИА проведен в форме промежуточной аттестации, в аттестат выставлены итоговые отметки по всем учебным предметам 9 класса. Сроки проведения единого государственного экзамена в 2020 году были скорректированы и перенесены с июня на более поздний период. Так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ие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мер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ы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обусловлен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ы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эпидемиологической ситуацией в стране и необходимыми требованиями защиты здоровья детей и педагогов.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>В соответствии с постановлением Губернатора Ставропольского края от 26 марта 2020 года № 119 «О комплексе ограничительных и иных мероприятий по снижению рисков распространения новой корон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>а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вирусной инфекции COVID-19 на территории Ставропольского края» проведение </w:t>
      </w:r>
      <w:r>
        <w:rPr>
          <w:rFonts w:eastAsia="Lucida Sans Unicode" w:cs="Times New Roman" w:ascii="Times New Roman" w:hAnsi="Times New Roman"/>
          <w:b/>
          <w:bCs/>
          <w:color w:val="000000"/>
          <w:sz w:val="28"/>
          <w:szCs w:val="28"/>
        </w:rPr>
        <w:t xml:space="preserve">физкультурно-спортивных, культурно-массовых мероприятий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>на территории округа было приостановлено. В социальных сетях информационно-телекоммуникационной сети «Интернет» во 2 квартале 2020 года были проведены онлайн конкурс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ы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>, флешмоб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ы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>, акции, марафо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ны,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 наиболее значимыми являются: Международный марафон «Великие песни Великой Победы», Всероссийские акци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и: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 «Бессмертный полк онлайн», «Георгиевская ленточка», «Свеча памяти онлайн», «Флаги России», «Окна России», Всероссийский проект «#Окна_Победы», акция взаимопомощи «#МыВместе», акция «Испеки пирог и скажи СПАСИБО» и другие. Охват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z w:val="28"/>
          <w:szCs w:val="28"/>
        </w:rPr>
        <w:t>молодежи м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ассовыми мероприятиями на территории округа по итогам отчетного периода составил 50%.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Среднемесячная заработная плата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работников списочного состава организаций, не относящихся к субъектам малого и среднего предпринимательства, за январь - май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увеличилась до              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8412,9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рубл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при темпе роста 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,5% к показателю аналогичного периода прошлого года. </w:t>
      </w:r>
    </w:p>
    <w:p>
      <w:pPr>
        <w:pStyle w:val="Normal"/>
        <w:widowControl w:val="false"/>
        <w:suppressAutoHyphens w:val="true"/>
        <w:spacing w:lineRule="exact" w:line="238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                                    </w:t>
      </w:r>
    </w:p>
    <w:p>
      <w:pPr>
        <w:pStyle w:val="Normal"/>
        <w:widowControl w:val="false"/>
        <w:suppressAutoHyphens w:val="true"/>
        <w:spacing w:lineRule="exact" w:line="238" w:before="0" w:after="0"/>
        <w:jc w:val="center"/>
        <w:rPr>
          <w:rFonts w:ascii="Times New Roman" w:hAnsi="Times New Roman" w:eastAsia="Calibri" w:cs="Times New Roman"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Среднемесячная заработная плата по основным отраслям экономики</w:t>
      </w:r>
    </w:p>
    <w:p>
      <w:pPr>
        <w:pStyle w:val="Normal"/>
        <w:widowControl w:val="false"/>
        <w:suppressAutoHyphens w:val="true"/>
        <w:spacing w:lineRule="exact" w:line="238" w:before="0" w:after="0"/>
        <w:jc w:val="center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за январь- май  </w:t>
      </w:r>
    </w:p>
    <w:p>
      <w:pPr>
        <w:pStyle w:val="Normal"/>
        <w:widowControl w:val="false"/>
        <w:suppressAutoHyphens w:val="true"/>
        <w:spacing w:lineRule="exact" w:line="238" w:before="0" w:after="0"/>
        <w:ind w:firstLine="708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53"/>
        <w:gridCol w:w="4402"/>
        <w:gridCol w:w="1214"/>
        <w:gridCol w:w="1648"/>
        <w:gridCol w:w="1439"/>
      </w:tblGrid>
      <w:tr>
        <w:trPr>
          <w:trHeight w:val="867" w:hRule="atLeast"/>
          <w:cantSplit w:val="true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Отрасли экономической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Темп роста, %</w:t>
            </w:r>
          </w:p>
        </w:tc>
      </w:tr>
      <w:tr>
        <w:trPr>
          <w:trHeight w:val="284" w:hRule="atLeast"/>
          <w:cantSplit w:val="true"/>
        </w:trPr>
        <w:tc>
          <w:tcPr>
            <w:tcW w:w="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20 год</w:t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Всего по обследуемым отраслям экономики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25715,4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28412,9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10,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>
        <w:trPr>
          <w:trHeight w:val="255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22544,9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26555,3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117,8</w:t>
            </w:r>
          </w:p>
        </w:tc>
      </w:tr>
      <w:tr>
        <w:trPr>
          <w:trHeight w:val="270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38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Добыча полезных ископаемых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53332,6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70388,5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Обрабатывающие производства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26435,6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29636,5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12,1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электрической энергией, газом и паром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22607,1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25363,5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112,2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22442,1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24107,6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7,4</w:t>
            </w:r>
          </w:p>
        </w:tc>
      </w:tr>
      <w:tr>
        <w:trPr>
          <w:trHeight w:val="161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7646,3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25700,6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3,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>
        <w:trPr>
          <w:trHeight w:val="194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19786,7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21013,9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106,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>
          <w:trHeight w:val="149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38" w:before="0" w:after="0"/>
              <w:ind w:left="0" w:right="57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24899,3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7456,7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exact" w:line="238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10,3</w:t>
            </w:r>
          </w:p>
        </w:tc>
      </w:tr>
    </w:tbl>
    <w:p>
      <w:pPr>
        <w:pStyle w:val="Normal"/>
        <w:spacing w:lineRule="exact" w:line="238" w:before="0" w:after="0"/>
        <w:ind w:firstLine="708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По официальным статистическим данным по состоянию на 01 июля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АО «Светлоградский маслоэкстракционный завод» имеет просроченную задолженность по заработной плате в сумме 16,1 млн.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Среднесписочная численность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работников организаций, не относящихся к субъектам малого и среднего предпринимательства (без внешних совместителей) за 5 месяцев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20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года составила 105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человека при темпе роста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101,4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% к показателю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19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года.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Courier New CYR" w:ascii="Times New Roman" w:hAnsi="Times New Roman"/>
          <w:b/>
          <w:color w:val="000000"/>
          <w:sz w:val="28"/>
          <w:szCs w:val="28"/>
        </w:rPr>
        <w:t>Уровень регистрируемой безработицы</w:t>
      </w:r>
      <w:r>
        <w:rPr>
          <w:rFonts w:eastAsia="Calibri" w:cs="Courier New CYR" w:ascii="Times New Roman" w:hAnsi="Times New Roman"/>
          <w:color w:val="000000"/>
          <w:sz w:val="28"/>
          <w:szCs w:val="28"/>
        </w:rPr>
        <w:t xml:space="preserve"> по состоянию на 03 июля отчетного года составлял 3,9% (на 02 июля 2019 года - 1,4%).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На учете в ГКУ «Центр занятости населения Петровского района» в качестве безработных состоит 1322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bookmarkStart w:id="4" w:name="_Hlk528678276"/>
      <w:bookmarkStart w:id="5" w:name="_Hlk5286787021"/>
      <w:bookmarkEnd w:id="5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протяжении ряда лет в округе сохраняется негативная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демографическая ситуация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bookmarkEnd w:id="4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По предварительным статистическим данным в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январе - мае 20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20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года в округе родилось 2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9 детей, умерло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409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человек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. В результате, коэффициент смертности в расчете на 1000 человек населения (1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,9) в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1,9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раз превышает коэффициент рождаемости (7,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). В аналогичном периоде 201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коэффициент рождаемости составлял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7,0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на 1000 человек населения, коэффициент смертности —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15,9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На территорию округа в течение января - мая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прибыло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474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человека, число выбывших увеличилось до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683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человек. В результате миграционный отток населения увеличился до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209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 (за пять месяцев 201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-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205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человек).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  <w:highlight w:val="yellow"/>
        </w:rPr>
        <w:t xml:space="preserve">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>В условиях распространения новой коронавирусной инфекции администрацией Петровского городского округа Ставропольского края реализуется План мероприятий по обеспечению устойчивого развития экономики Петровского городского округа. Мероприятия плана предусматривают: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i w:val="false"/>
          <w:iCs w:val="false"/>
          <w:color w:val="000000"/>
          <w:sz w:val="28"/>
          <w:szCs w:val="28"/>
        </w:rPr>
        <w:t xml:space="preserve">-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оказание консультационной поддержки системообразующим предприятиям и субъектам МСП, введение налоговых льгот по местным налогам для субъектов МСП,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>мораторий на проверки субъектов МСП, за исключением вопросов, несущих риски для жизни и здоровья граждан;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>- приоритезацию расходов бюджета в целях принятия антикризисных мер;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>- введение отсрочки на уплату пени по задолженности, возникшей по арендной плате за земельные участки, находящиеся в муниципальной собственности;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>- продление выплаты назначенных мер социальной поддержки граждан без дополнительного подтверждения нуждаемости в таких выплатах.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Выполнение Плана мероприятий позволит преодолеть негативные тенденции в социально-экономическом развитии округа, такие как снижение числа субъектов МСП, увеличение уровня регистрируемой безработицы, сокращение объема розничного товарооборота и оборота общественного питания,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и не допустить снижения качества жизни населения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color w:val="000000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  <w:t>Первый заместитель главы администрации 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  <w:t>начальник финансового управления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  <w:t xml:space="preserve">администрации Петровского городского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  <w:t>округа Ставропольского края                                                   В.П.Сухомлинова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исп. Амелина А.А.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2"/>
          <w:szCs w:val="22"/>
        </w:rPr>
        <w:t>+7(86547)4-05-36</w:t>
      </w:r>
    </w:p>
    <w:sectPr>
      <w:type w:val="nextPage"/>
      <w:pgSz w:w="11906" w:h="16838"/>
      <w:pgMar w:left="1985" w:right="6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DejaVu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6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"/>
    <w:basedOn w:val="DefaultParagraphFont"/>
    <w:link w:val="2"/>
    <w:uiPriority w:val="99"/>
    <w:qFormat/>
    <w:rsid w:val="00ec10e6"/>
    <w:rPr>
      <w:rFonts w:ascii="Calibri" w:hAnsi="Calibri" w:eastAsia="Times New Roman" w:cs="Times New Roman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ba7f6a"/>
    <w:rPr>
      <w:rFonts w:ascii="Times New Roman" w:hAnsi="Times New Roman" w:eastAsia="Lucida Sans Unicode" w:cs="Times New Roman"/>
      <w:sz w:val="24"/>
      <w:szCs w:val="20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e3660"/>
    <w:rPr>
      <w:rFonts w:ascii="Segoe UI" w:hAnsi="Segoe UI" w:cs="Segoe UI"/>
      <w:sz w:val="18"/>
      <w:szCs w:val="18"/>
    </w:rPr>
  </w:style>
  <w:style w:type="character" w:styleId="Style14">
    <w:name w:val="Символ нумерации"/>
    <w:qFormat/>
    <w:rPr/>
  </w:style>
  <w:style w:type="character" w:styleId="Style15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f5d2f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uiPriority w:val="99"/>
    <w:unhideWhenUsed/>
    <w:qFormat/>
    <w:rsid w:val="00ec10e6"/>
    <w:pPr>
      <w:spacing w:lineRule="auto" w:line="480" w:before="0" w:after="120"/>
      <w:ind w:left="283" w:hanging="0"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qFormat/>
    <w:rsid w:val="00a95d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2"/>
    <w:uiPriority w:val="99"/>
    <w:unhideWhenUsed/>
    <w:qFormat/>
    <w:rsid w:val="00ba7f6a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Lucida Sans Unicode" w:cs="Times New Roman"/>
      <w:sz w:val="24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e36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umentMap">
    <w:name w:val="DocumentMap"/>
    <w:qFormat/>
    <w:pPr>
      <w:widowControl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7DE2-254B-4AB8-9082-8ED81F9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Application>LibreOffice/6.3.6.2$Linux_X86_64 LibreOffice_project/30$Build-2</Application>
  <Pages>7</Pages>
  <Words>2338</Words>
  <Characters>15749</Characters>
  <CharactersWithSpaces>18747</CharactersWithSpaces>
  <Paragraphs>132</Paragraphs>
  <Company>Администрация Петровского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2020-07-23T06:58:00Z</dcterms:created>
  <dc:creator>Отдел экономичесого развития</dc:creator>
  <dc:description/>
  <dc:language>ru-RU</dc:language>
  <cp:lastModifiedBy/>
  <cp:lastPrinted>2020-08-13T10:38:44Z</cp:lastPrinted>
  <dcterms:modified xsi:type="dcterms:W3CDTF">2020-08-13T10:40:58Z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