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AB6B" w14:textId="77777777" w:rsidR="00593A84" w:rsidRDefault="00075A3C" w:rsidP="00075A3C">
      <w:pPr>
        <w:spacing w:after="0" w:line="240" w:lineRule="exac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 w14:paraId="57D10681" w14:textId="77777777" w:rsidR="00593A84" w:rsidRDefault="00075A3C" w:rsidP="00075A3C">
      <w:pPr>
        <w:spacing w:after="0" w:line="240" w:lineRule="exac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 социально-экономическом развитии Петровского городского округа Ставропольского края за 9 месяцев 2021 года</w:t>
      </w:r>
    </w:p>
    <w:p w14:paraId="08F36C84" w14:textId="77777777" w:rsidR="00593A84" w:rsidRDefault="00593A84">
      <w:pPr>
        <w:spacing w:after="0" w:line="283" w:lineRule="exact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</w:rPr>
      </w:pPr>
    </w:p>
    <w:p w14:paraId="7D96BBC5" w14:textId="77777777" w:rsidR="00593A84" w:rsidRDefault="00075A3C">
      <w:pPr>
        <w:spacing w:after="0" w:line="240" w:lineRule="auto"/>
        <w:ind w:firstLine="680"/>
        <w:jc w:val="both"/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В Петровском городском округе Ставропольского края (далее — округ) осуществляют деятельность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64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организации, не относящихся к субъектам малого и среднего предпринимательства (далее — субъект МСП). По статистическим данным оборот организаций не относящихся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к субъектам МСП, отражающий их коммерческую деятельность, за январь – сентябрь 2021 года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увеличился до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18440,5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млн. рублей при темпе роста 1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84,3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% к показателю аналогичного периода 2020 года, н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а долю промышленности и сельского хозяйства приходится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47,3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% обо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рота. </w:t>
      </w:r>
    </w:p>
    <w:p w14:paraId="1AAE8122" w14:textId="6040C2D4" w:rsidR="00593A84" w:rsidRDefault="00075A3C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организаций</w:t>
      </w:r>
      <w:r w:rsidR="00E70390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,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не относящихся к субъектам МСП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(далее – товаров собственного производства) в отчетном периоде достиг 7988,7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млн. рублей при темпе роста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124,6</w:t>
      </w:r>
      <w:bookmarkStart w:id="0" w:name="_Hlk519663658"/>
      <w:r>
        <w:rPr>
          <w:rFonts w:ascii="Times New Roman" w:eastAsia="Lucida Sans Unicode" w:hAnsi="Times New Roman" w:cs="Tahoma"/>
          <w:color w:val="000000"/>
          <w:sz w:val="28"/>
          <w:szCs w:val="28"/>
        </w:rPr>
        <w:t>% к показателю за январь-сентябрь 20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20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года</w:t>
      </w:r>
      <w:bookmarkEnd w:id="0"/>
      <w:r>
        <w:rPr>
          <w:rFonts w:ascii="Times New Roman" w:eastAsia="Lucida Sans Unicode" w:hAnsi="Times New Roman" w:cs="Tahoma"/>
          <w:color w:val="000000"/>
          <w:sz w:val="28"/>
          <w:szCs w:val="28"/>
        </w:rPr>
        <w:t>.</w:t>
      </w:r>
    </w:p>
    <w:p w14:paraId="339CC5E7" w14:textId="77777777" w:rsidR="00593A84" w:rsidRDefault="00075A3C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По промышленным видам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экономической деятельности данный показатель составляет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4639,0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млн. рублей, что на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242,8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млн. рублей или 5,0% ниже показателя аналогичного периода прошлого года.</w:t>
      </w:r>
    </w:p>
    <w:p w14:paraId="2060EC83" w14:textId="2452C9A6" w:rsidR="00593A84" w:rsidRDefault="00075A3C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В отчетном периоде отм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ечается снижение объемов производства обрабатывающих предприятий, так объем продукции, отгруженной обрабатывающими предприятиями, в отчетном периоде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сократился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до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2223,7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</w:t>
      </w:r>
      <w:r w:rsidR="00E64970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при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темп</w:t>
      </w:r>
      <w:r w:rsidR="00E64970">
        <w:rPr>
          <w:rFonts w:ascii="Times New Roman" w:eastAsia="Lucida Sans Unicode" w:hAnsi="Times New Roman" w:cs="Tahoma"/>
          <w:color w:val="000000"/>
          <w:sz w:val="28"/>
          <w:szCs w:val="28"/>
        </w:rPr>
        <w:t>е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роста к показателю прошлого года 7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6,3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%, а доля обрабатывающих произв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одств в объеме отгруженных товаров собственного производства промышленных предприятий сократилась до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47,9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% (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за январь - сентябрь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20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20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года —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59,6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%). Сокращение произошло за счет снижения объемов производства пищевых продуктов. </w:t>
      </w:r>
    </w:p>
    <w:p w14:paraId="415E1CE8" w14:textId="77777777" w:rsidR="00593A84" w:rsidRDefault="00075A3C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Объем продукции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сельского хо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 xml:space="preserve">зяйства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увеличился до 3076,1 млн. рублей, что в 2,5 раза превышает значение показателя за соответствующий период прошлого года.</w:t>
      </w:r>
    </w:p>
    <w:p w14:paraId="5287B66A" w14:textId="77777777" w:rsidR="00593A84" w:rsidRDefault="00075A3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оперативным данным в отчетном году собрано </w:t>
      </w:r>
      <w:r>
        <w:rPr>
          <w:rFonts w:ascii="Times New Roman" w:hAnsi="Times New Roman" w:cs="Times New Roman"/>
          <w:color w:val="000000"/>
          <w:sz w:val="28"/>
          <w:szCs w:val="28"/>
        </w:rPr>
        <w:t>484,1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тонн зерновых и зернобобовых культур (включая кукурузу на зерно) при средней урожайности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ц/га (в 2020 году 188,1 тыс. тонн при средней урожайности 16,9 ц/га), масличных культур собрано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тонн при средней урожайности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ц/га (в 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- 19,9 тыс. тонн и 6,7 ц/га соответственно). </w:t>
      </w: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</w:p>
    <w:p w14:paraId="3B6DDAF2" w14:textId="77777777" w:rsidR="00593A84" w:rsidRDefault="00075A3C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оценке в хозяйствах всех категорий на 01 октября 2021 года содержалось: крупного рогатого скота 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bookmarkStart w:id="1" w:name="__DdeLink__169_144520593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голов,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5,6 тыс. голов коров дойного стада, свиней 10,2 тыс. голов, овец 14,3 тыс.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около 1,1 млн. голов птицы. Произведено (выращено) мяса скота и птицы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тонн,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к показателю прошлого года. Производство молока увеличилось до 16,7 тыс. тонн при темпе роста к показателю 2020 года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14:paraId="30E300E1" w14:textId="6EE2CCFA" w:rsidR="00593A84" w:rsidRPr="00075A3C" w:rsidRDefault="00075A3C" w:rsidP="0007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«строительство»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отчетном периоде выполнено работ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при темпе роста 100,4%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показателю аналогичного периода прошлого года.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За счет средств индивидуальных застройщико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 введены в эксплуатацию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6748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кв. м. жилых площадей, что на 15% выше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показателя за январь - сентябрь 2020 года.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</w:p>
    <w:p w14:paraId="5C8426CF" w14:textId="0DDE83BE" w:rsidR="00593A84" w:rsidRDefault="00075A3C" w:rsidP="00075A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инвестиционной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объем инвестиций в основной капитал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бюджетных средств) за         9 месяцев 2021 года составил 2065,3 млн.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01 октября 2021 года в округе продолжается реализация 17 инвестиционных проектов, из них 15 проектов реализуют субъекты малого предпринимательства. Наиболее значимыми из них являются: строительство Берестовской ВЭС и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гидроэлектростанции на Просянском сбросе из БСК IV в реку Калаус в с. Просянка.</w:t>
      </w:r>
    </w:p>
    <w:p w14:paraId="54D1C8CC" w14:textId="77777777" w:rsidR="00593A84" w:rsidRDefault="00075A3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розничного товарооборота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(через все каналы реализации) в отчетном периоде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увеличился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2690,5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млн. рублей, темп роста к аналогичному периоду прошлого года 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5,7%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На долю крупных и средних предприятий приходится 54,1% всего объема розничного товарооборота.</w:t>
      </w:r>
    </w:p>
    <w:p w14:paraId="0F112A5B" w14:textId="77777777" w:rsidR="00593A84" w:rsidRDefault="00075A3C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По состоянию на 01 октября 2021 года на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территории округа осуществляли деятельность 2112 хозяйствующих субъектов, в том числе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1873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субъект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а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 xml:space="preserve"> малого и среднег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о бизнеса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, из них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1670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индивидуальных предпринимателей (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79,0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% от общего числа) и 2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03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юридических лица. Кроме того, по данным Межрайонной ИФНС России № 3 по Ставропольскому краю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936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налогоплательщиков, состоящих на учете по месту жительства в Петровском городском округе Ставропольского края, применяют специальный налоговый режим «Налог на профессиональный доход».</w:t>
      </w:r>
    </w:p>
    <w:p w14:paraId="20929C48" w14:textId="77777777" w:rsidR="00593A84" w:rsidRDefault="00075A3C">
      <w:pPr>
        <w:spacing w:after="0" w:line="240" w:lineRule="auto"/>
        <w:ind w:firstLine="708"/>
        <w:jc w:val="both"/>
        <w:rPr>
          <w:color w:val="000000"/>
        </w:rPr>
      </w:pPr>
      <w:bookmarkStart w:id="2" w:name="_Hlk528677365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микрозаймы НМО «Фонд микрофинансирования субъектов малого и среднего предпринимательства в Ставропольском крае» предоставлены 8 субъектам МСП на общую сумму </w:t>
      </w:r>
      <w:r>
        <w:rPr>
          <w:rFonts w:ascii="Times New Roman" w:hAnsi="Times New Roman"/>
          <w:color w:val="000000"/>
          <w:sz w:val="28"/>
          <w:szCs w:val="28"/>
        </w:rPr>
        <w:t>21,6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>
        <w:rPr>
          <w:rFonts w:ascii="Times New Roman" w:hAnsi="Times New Roman"/>
          <w:color w:val="000000"/>
          <w:sz w:val="28"/>
          <w:szCs w:val="28"/>
        </w:rPr>
        <w:t>. рублей.                    ГУП СК «Гарантийный фонд поддержки субъекто</w:t>
      </w:r>
      <w:r>
        <w:rPr>
          <w:rFonts w:ascii="Times New Roman" w:hAnsi="Times New Roman"/>
          <w:color w:val="000000"/>
          <w:sz w:val="28"/>
          <w:szCs w:val="28"/>
        </w:rPr>
        <w:t xml:space="preserve">в малого и среднего предпринимательства в Ставропольском крае» предоставлено 2 поручительства на сумму </w:t>
      </w:r>
      <w:r>
        <w:rPr>
          <w:rFonts w:ascii="Times New Roman" w:hAnsi="Times New Roman"/>
          <w:color w:val="000000"/>
          <w:sz w:val="28"/>
          <w:szCs w:val="28"/>
        </w:rPr>
        <w:t>39,9 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«Фонд поддержки предпринимательства в Ставропольском крае»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было оказано 4 консультац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(по мерам поддержки, об открытии бизнеса, бизнес-планировании т.д.).</w:t>
      </w:r>
    </w:p>
    <w:p w14:paraId="33824AFA" w14:textId="2DF72EAD" w:rsidR="00593A84" w:rsidRDefault="00075A3C">
      <w:pPr>
        <w:tabs>
          <w:tab w:val="left" w:pos="735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Сальдированный финансовый результат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4F058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без субъектов МСП, банков, страховых организаций и бюджетных учреждений</w:t>
      </w:r>
      <w:r w:rsidR="004F05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январь - август текущего года сложился положител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ьным и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2081,2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рублей, что в 3,4 раза превышает показатель аналогичного периода прошлого года. Прибыль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2109,8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получили </w:t>
      </w:r>
      <w:r>
        <w:rPr>
          <w:rFonts w:ascii="Times New Roman" w:hAnsi="Times New Roman" w:cs="Times New Roman"/>
          <w:color w:val="000000"/>
          <w:sz w:val="28"/>
          <w:szCs w:val="28"/>
        </w:rPr>
        <w:t>68,4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округа. Убыток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28,6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получили </w:t>
      </w:r>
      <w:r>
        <w:rPr>
          <w:rFonts w:ascii="Times New Roman" w:hAnsi="Times New Roman" w:cs="Times New Roman"/>
          <w:color w:val="000000"/>
          <w:sz w:val="28"/>
          <w:szCs w:val="28"/>
        </w:rPr>
        <w:t>31,6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14:paraId="288323FA" w14:textId="0FD1D2C4" w:rsidR="00593A84" w:rsidRDefault="00075A3C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 городского округа Ставропольского края (далее – бюджет округа) за 9 месяцев 2021 года поступило 1758,6 млн. рублей доходов. По состоянию на 01 октября 2021 года доходная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округа исполнена на 72,9% к годовым бюджетным назнач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ениям (запланировано 2412,7 млн. рублей). По сравнению с аналогичным периодом прошлого года поступление доходов увеличилось на 69,8 млн. рублей.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общей сумме поступлений 21,9% или 385,4 млн. рублей составили налоговые и неналоговые доходы.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оступления занимают 78,1% всех доходов бюджета округа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. </w:t>
      </w:r>
    </w:p>
    <w:p w14:paraId="4A07E86A" w14:textId="77777777" w:rsidR="00593A84" w:rsidRDefault="00075A3C">
      <w:pPr>
        <w:spacing w:after="0" w:line="240" w:lineRule="auto"/>
        <w:ind w:firstLine="60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планируемых расходов бюджета округа на 2021 год в течение девяти месяцев увеличился по сравнению с первоначально принятым бюджетом на 310,4 млн. рублей и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2642,7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14:paraId="2C6C05FF" w14:textId="77777777" w:rsidR="00593A84" w:rsidRDefault="00075A3C">
      <w:pPr>
        <w:spacing w:after="0" w:line="240" w:lineRule="auto"/>
        <w:ind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 бюджета округа осуществлялось в рамках реализации 14 муниципальных программ Петровского городского округа Ставропольского края (далее - муниципальные программы). </w:t>
      </w:r>
      <w:r>
        <w:rPr>
          <w:rFonts w:ascii="Times New Roman" w:hAnsi="Times New Roman" w:cs="Times New Roman"/>
          <w:color w:val="000000"/>
          <w:sz w:val="28"/>
          <w:szCs w:val="28"/>
        </w:rPr>
        <w:t>Кассовое исполнение за отчетный период сложилось в сумме 1788,1 млн. рублей или 67,7%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уточненному годовому плану, что ниже показателя за аналогичный период прошлого года на 1,4%. Непрограммная часть занимает 2,5% от общего объема расходов бюджета округа.</w:t>
      </w:r>
    </w:p>
    <w:p w14:paraId="472ED929" w14:textId="4C99311D" w:rsidR="00593A84" w:rsidRDefault="00075A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 реализации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реализация </w:t>
      </w:r>
      <w:r w:rsidR="008D600A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проектов, основанных на местных инициативах. В полном объеме завершены работы: по обустройству территории, прилегающей к памятнику «Воинам - односельчанам, погибшим в годы гражданской и Великой Отечественной войн» в с. Просянка, п</w:t>
      </w:r>
      <w:r>
        <w:rPr>
          <w:rFonts w:ascii="Times New Roman" w:hAnsi="Times New Roman" w:cs="Times New Roman"/>
          <w:color w:val="000000"/>
          <w:sz w:val="28"/>
          <w:szCs w:val="28"/>
        </w:rPr>
        <w:t>о благоустройству прилегающих территорий к Домам культуры в с. Ореховка и поселке Рогатая Балка, по устройству и ремонту тротуара в с. Сухая Буйвола, по ремонту автомобильных дорог общего пользования в                  с. Шангала, по обустройству остановоч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павильонов в г. Светлограде,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кладбища </w:t>
      </w:r>
      <w:r w:rsidR="00B16CB0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х. Соленое Озеро,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сквера, прилегающего к МУП ПГО СК «Центральный рынок» в г. Светлограде,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парковой зоны в с. Высоцкое,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ории зоны отдыха в с. Константиновское, </w:t>
      </w:r>
      <w:r>
        <w:rPr>
          <w:rFonts w:ascii="Times New Roman" w:hAnsi="Times New Roman" w:cs="Times New Roman"/>
          <w:color w:val="000000"/>
          <w:sz w:val="28"/>
          <w:szCs w:val="28"/>
        </w:rPr>
        <w:t>парка в с. Благодатное, по ремонту центрально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аллеи в сквере по ул. Почтовой пос. Прикалаусский. Приобретен аттракцион для сквера им. А.П. Гайдара в г. Светлоград.</w:t>
      </w:r>
    </w:p>
    <w:p w14:paraId="6B4DC558" w14:textId="2BFDFE2D" w:rsidR="00593A84" w:rsidRDefault="00075A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 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легающих территорий к Дом</w:t>
      </w:r>
      <w:r w:rsidR="00A2689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 с. Гоф</w:t>
      </w:r>
      <w:r>
        <w:rPr>
          <w:rFonts w:ascii="Times New Roman" w:hAnsi="Times New Roman" w:cs="Times New Roman"/>
          <w:color w:val="000000"/>
          <w:sz w:val="28"/>
          <w:szCs w:val="28"/>
        </w:rPr>
        <w:t>ицкое</w:t>
      </w:r>
      <w:r w:rsidR="00A268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>% от общего объема работ</w:t>
      </w:r>
      <w:r w:rsidR="00A2689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Ведутся работы по благоустройству общественных территорий в селах Константиновское, Николина Балка, Шведино, Донская Балка.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98BDCD" w14:textId="4A0CD99E" w:rsidR="00593A84" w:rsidRDefault="00075A3C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регионального проекта</w:t>
      </w:r>
      <w:r w:rsidR="00A2689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- региональный проект)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комфортной городской среды» </w:t>
      </w:r>
      <w:r>
        <w:rPr>
          <w:rFonts w:ascii="Times New Roman" w:hAnsi="Times New Roman" w:cs="Times New Roman"/>
          <w:color w:val="000000"/>
          <w:sz w:val="28"/>
          <w:szCs w:val="28"/>
        </w:rPr>
        <w:t>велось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пешеходных зон по ул. Тургенева г. Светлограда (от ул. Красная до ул. Комсомольская) и ул. Ленина г. Светлограда, выполнены работы по укладке брусчатки, установке бордюров, обустройству освещения.</w:t>
      </w:r>
      <w:r>
        <w:rPr>
          <w:rFonts w:ascii="Times New Roman" w:hAnsi="Times New Roman" w:cs="Times New Roman"/>
          <w:color w:val="C9211E"/>
          <w:sz w:val="28"/>
          <w:szCs w:val="28"/>
          <w:highlight w:val="yellow"/>
        </w:rPr>
        <w:t xml:space="preserve"> </w:t>
      </w:r>
    </w:p>
    <w:p w14:paraId="7BB62C9F" w14:textId="77777777" w:rsidR="00593A84" w:rsidRDefault="00075A3C">
      <w:pPr>
        <w:widowControl w:val="0"/>
        <w:spacing w:after="0" w:line="240" w:lineRule="auto"/>
        <w:ind w:firstLine="737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По состоянию на 01 октября 2021 года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2950 детей посещают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 xml:space="preserve"> дошкольные образовательные организации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(в городе — 1639 детей, в селах — 1311 детей)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. На учете для определения в дошкольные образовательные организации состоит 126 детей в возрасте от 0 д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 3 лет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(в городе —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120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детей, в селах —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детей).</w:t>
      </w:r>
    </w:p>
    <w:p w14:paraId="16DAD716" w14:textId="77777777" w:rsidR="00593A84" w:rsidRDefault="00075A3C">
      <w:pPr>
        <w:widowControl w:val="0"/>
        <w:spacing w:after="0" w:line="240" w:lineRule="auto"/>
        <w:ind w:firstLine="680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общеобразовательных организациях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округа обучается 6580 детей, </w:t>
      </w:r>
      <w:r>
        <w:rPr>
          <w:rFonts w:ascii="Times New Roman CYR" w:eastAsia="Lucida Sans Unicode" w:hAnsi="Times New Roman CYR" w:cs="Times New Roman CYR"/>
          <w:color w:val="000000"/>
          <w:sz w:val="28"/>
          <w:szCs w:val="28"/>
        </w:rPr>
        <w:t xml:space="preserve">из них 9 получают общее образование вне образовательной организации в </w:t>
      </w:r>
      <w:r>
        <w:rPr>
          <w:rFonts w:ascii="Times New Roman CYR" w:eastAsia="Lucida Sans Unicode" w:hAnsi="Times New Roman CYR" w:cs="Times New Roman CYR"/>
          <w:color w:val="000000"/>
          <w:sz w:val="28"/>
          <w:szCs w:val="28"/>
        </w:rPr>
        <w:lastRenderedPageBreak/>
        <w:t xml:space="preserve">семейной форме.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На протяжении всего периода проведения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государственной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итоговой аттестации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в форме ЕГЭ округ показывает стабильные результаты.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В 2021 году из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235 </w:t>
      </w:r>
      <w:r>
        <w:rPr>
          <w:rFonts w:ascii="Times New Roman" w:hAnsi="Times New Roman" w:cs="Tahoma"/>
          <w:color w:val="000000"/>
          <w:sz w:val="28"/>
          <w:szCs w:val="28"/>
        </w:rPr>
        <w:t>выпускников 11 классов освоили государственный стандарт 100% учащихся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, 28 выпускников получили аттестат с отличием.</w:t>
      </w:r>
    </w:p>
    <w:p w14:paraId="647A1C44" w14:textId="5D5CABFC" w:rsidR="00593A84" w:rsidRDefault="00075A3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Образовательные организации округа принимают участие в реализации региональных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рамках регионального проекта «Современная школа» национального проекта «Образование»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обеспечена деятельность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 Центр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образования цифрового и гуманитарного профилей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ентр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образования естественнонаучной и технологической направленностей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«Точка роста»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МКОУ СОШ №2, МКОУ СОШ №8, МКОУ СОШ № 6 им. Г.В. Батищева, МКОУ СОШ №17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>МКОУ СОШ №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18 и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>МКОУ СОШ № 10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етев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реализации общеобразовательных программ</w:t>
      </w:r>
      <w:r w:rsidR="008D60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МКОУ СОШ № 6 им. Г.В. Батищева, МКОУ СОШ № 13, МКОУ СОШ № 17, МКОУ СОШ № 16. </w:t>
      </w:r>
    </w:p>
    <w:p w14:paraId="3B9B3C2A" w14:textId="77777777" w:rsidR="00593A84" w:rsidRDefault="00075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 «Цифровая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среда» в МБОУГ № 1, МБОУЛ № 3, МБОУ СОШ № 4        г. Светлограда внедрена целевая модель цифровой образовательной среды, обеспечен доступ обучающихся и педагогических работников к цифровой образовательной инфраструктуре и контенту. </w:t>
      </w:r>
    </w:p>
    <w:p w14:paraId="4D5FDA78" w14:textId="77777777" w:rsidR="00593A84" w:rsidRDefault="00075A3C">
      <w:pPr>
        <w:widowControl w:val="0"/>
        <w:spacing w:after="0" w:line="240" w:lineRule="auto"/>
        <w:ind w:firstLine="737"/>
        <w:jc w:val="both"/>
        <w:rPr>
          <w:color w:val="000000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В рамках регион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ального проекта «Успех каждого ребенка» в отчетном периоде в МКОУ СОШ № 19 с. Шведино выполнен ремонт спортивного зала, в МКОУ СОШ № 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Благодатное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приобретено оборудование для спортивного клуба.</w:t>
      </w:r>
    </w:p>
    <w:p w14:paraId="714D04CF" w14:textId="77777777" w:rsidR="00593A84" w:rsidRDefault="00075A3C">
      <w:pPr>
        <w:widowControl w:val="0"/>
        <w:spacing w:after="0" w:line="240" w:lineRule="auto"/>
        <w:ind w:firstLine="737"/>
        <w:jc w:val="both"/>
        <w:rPr>
          <w:color w:val="000000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 округе продолжается работа по созданию комфортных современных условий для обучения, развития инфраструктуры и улучшению санитарного состояния. Так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 целях соблюдения требований к воздушно-тепловому режиму, водоснабжению и канализации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ведутся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работы по бл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агоустройству здания МКОУ СОШ № 15 п. Прикалаусский, в МКОУ СОШ № 5 в г. Светлограда идет строительство спортзала, мастерской и спортивной площадки.</w:t>
      </w:r>
    </w:p>
    <w:p w14:paraId="32BE6386" w14:textId="77777777" w:rsidR="00593A84" w:rsidRDefault="00075A3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Для молодежи округа за 9 месяцев 2021 года проведено 58 мероприятий, охват молодежи массовыми мероприятиями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составил 73%. Молодежные делегации округа принимали участие в мероприятиях различного уровня, проходивших в Ставропольском крае, наиболее значимыми из них были участие в XXIX краевом фестивале «Студенческая весна Ставрополья – 2021» и 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в </w:t>
      </w:r>
      <w:bookmarkStart w:id="3" w:name="_Hlk70068248"/>
      <w:r>
        <w:rPr>
          <w:rFonts w:ascii="Times New Roman" w:eastAsia="Times New Roman" w:hAnsi="Times New Roman" w:cs="Tahoma"/>
          <w:color w:val="000000"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открытом межре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гиональном фестивале-конкурсе детских и молодежных СМИ «На 45-ой параллели</w:t>
      </w:r>
      <w:bookmarkEnd w:id="3"/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, в </w:t>
      </w:r>
      <w:bookmarkStart w:id="4" w:name="_Hlk700682481"/>
      <w:r>
        <w:rPr>
          <w:rFonts w:ascii="Times New Roman" w:eastAsia="Times New Roman" w:hAnsi="Times New Roman" w:cs="Tahoma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</w:t>
      </w:r>
      <w:bookmarkEnd w:id="4"/>
      <w:r>
        <w:rPr>
          <w:rFonts w:ascii="Times New Roman" w:eastAsia="Times New Roman" w:hAnsi="Times New Roman" w:cs="Tahoma"/>
          <w:color w:val="000000"/>
          <w:sz w:val="28"/>
          <w:szCs w:val="28"/>
        </w:rPr>
        <w:t>юбилейной Школе актива учащейся молодежи Ставропольского края «Достижения».</w:t>
      </w:r>
    </w:p>
    <w:p w14:paraId="1B8E018B" w14:textId="41005907" w:rsidR="00593A84" w:rsidRDefault="00075A3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За 9 месяцев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2021 года проведено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54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физкультурно-спортивных мероприяти</w:t>
      </w:r>
      <w:r w:rsidR="0029646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я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, участие в которых при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няли около 3,0 тыс. человек. Спортсмены округа приняли участие в 2 межрайонных, 11 региональных, 4 межрегиональных и в 1 Всероссийском соревнованиях.</w:t>
      </w:r>
    </w:p>
    <w:p w14:paraId="31DE014C" w14:textId="37A7397D" w:rsidR="00593A84" w:rsidRDefault="00075A3C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отчетном периоде Домами культуры округа проведено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2924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культурных мероприятия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программ различных форм направленности, </w:t>
      </w:r>
      <w:r w:rsidR="0029646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общее число посетителей которых составилит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240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человек.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Муниципальные музеи МКУК «Гофицкий историко-краеведческий музей им. Ю.И.Бельгарова» и МКУК «Народный музей села Сухая Буйвола» посетили около 4,7 тыс. человек.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Библиотека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ми округа проведено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684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мероприятия, в которых приняли участие 18,8 тыс. человек.</w:t>
      </w:r>
    </w:p>
    <w:p w14:paraId="2CE4853F" w14:textId="54F44093" w:rsidR="00593A84" w:rsidRDefault="00075A3C">
      <w:pPr>
        <w:tabs>
          <w:tab w:val="left" w:pos="0"/>
        </w:tabs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В рамках реализации регионального проекта «Культурная среда»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выполнен капитальный ремонт здания МКУК ДО «Светлоградская детская художественная школа». В МКУК «ДК с. Донская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Балка» продолжаются работы по капитальному ремонту здания Дома культуры.</w:t>
      </w:r>
    </w:p>
    <w:p w14:paraId="55D8840C" w14:textId="6D72BF12" w:rsidR="00593A84" w:rsidRDefault="00075A3C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В рамках реализации регионального проекта «Творческие люди»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улучшена материально-техническая база </w:t>
      </w:r>
      <w:r>
        <w:rPr>
          <w:rFonts w:ascii="Times New Roman" w:eastAsia="Lucida Sans Unicode" w:hAnsi="Times New Roman" w:cs="Times New Roman"/>
          <w:color w:val="000000"/>
          <w:sz w:val="28"/>
          <w:szCs w:val="24"/>
          <w:lang w:eastAsia="ar-SA"/>
        </w:rPr>
        <w:t>МКУК «ДК с. Благодатного» (приобретено звуковое оборудование и мебель) и «ДК с. Дон</w:t>
      </w:r>
      <w:r>
        <w:rPr>
          <w:rFonts w:ascii="Times New Roman" w:eastAsia="Lucida Sans Unicode" w:hAnsi="Times New Roman" w:cs="Times New Roman"/>
          <w:color w:val="000000"/>
          <w:sz w:val="28"/>
          <w:szCs w:val="24"/>
          <w:lang w:eastAsia="ar-SA"/>
        </w:rPr>
        <w:t>ская Балка» (приобретена мебель), а так</w:t>
      </w:r>
      <w:r>
        <w:rPr>
          <w:rFonts w:ascii="Times New Roman" w:eastAsia="Lucida Sans Unicode" w:hAnsi="Times New Roman" w:cs="Times New Roman"/>
          <w:color w:val="000000"/>
          <w:sz w:val="28"/>
          <w:szCs w:val="24"/>
          <w:lang w:eastAsia="ar-SA"/>
        </w:rPr>
        <w:t>же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выплачены денежные поощрения лучшим работникам культуры муниципальных учреждений культуры, находящихся в сельской местности.</w:t>
      </w:r>
    </w:p>
    <w:p w14:paraId="6E4EA91B" w14:textId="77777777" w:rsidR="00593A84" w:rsidRDefault="00075A3C">
      <w:pPr>
        <w:widowControl w:val="0"/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</w:rPr>
        <w:t>Среднесписочная численность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работников организаций, не относящихся к субъектам малого пр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едпринимательства, за январь - август 2021 года составила 10,4 тыс. человек или 98,4% к значению показателя за аналогичный период 2020 года.</w:t>
      </w:r>
    </w:p>
    <w:p w14:paraId="5ABA6E76" w14:textId="7F057864" w:rsidR="00593A84" w:rsidRDefault="00075A3C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условиях распространения новой коронавирусной инфекции </w:t>
      </w:r>
      <w:r w:rsidR="0029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COVID-19 в округе стабилизировалась ситуация на рынке труда. По данным еженедельного мониторинга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уровень регистрируемой безработицы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состоянию на 29 сентября 2021 года составлял 2,3% (на 29 сентяб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 2020 года — 6,3%). Численность официально зарегистрированных безработных - 758 человек. Потребность в работниках, заявленная работодателями в органы службы занятости населения 557 человек, коэффициент напряженности на рынке труда составляет 1,4.</w:t>
      </w:r>
    </w:p>
    <w:p w14:paraId="3D2C963C" w14:textId="77777777" w:rsidR="00593A84" w:rsidRDefault="00075A3C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Среднем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есячная заработная плата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 списочного состава организаций, не относящихся к субъектам малого и среднего предпринимательства, за январь - август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увеличилась до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31217,2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темпе роста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06,6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показателю аналогичного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периода прошлого года.</w:t>
      </w:r>
    </w:p>
    <w:p w14:paraId="728C4ED1" w14:textId="77777777" w:rsidR="00593A84" w:rsidRDefault="00593A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BB88BA9" w14:textId="77777777" w:rsidR="00593A84" w:rsidRDefault="00075A3C">
      <w:pPr>
        <w:widowControl w:val="0"/>
        <w:spacing w:after="0" w:line="227" w:lineRule="exact"/>
        <w:jc w:val="center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Среднемесячная заработная плата по основным отраслям экономики</w:t>
      </w:r>
    </w:p>
    <w:p w14:paraId="41D27CE1" w14:textId="77777777" w:rsidR="00593A84" w:rsidRDefault="00075A3C">
      <w:pPr>
        <w:widowControl w:val="0"/>
        <w:spacing w:after="0" w:line="227" w:lineRule="exact"/>
        <w:jc w:val="center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 январь - август 2021 года</w:t>
      </w:r>
    </w:p>
    <w:p w14:paraId="430D9D34" w14:textId="77777777" w:rsidR="00593A84" w:rsidRDefault="00075A3C">
      <w:pPr>
        <w:widowControl w:val="0"/>
        <w:spacing w:after="0" w:line="227" w:lineRule="exact"/>
        <w:ind w:firstLine="708"/>
        <w:jc w:val="center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                                                                                   </w:t>
      </w: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53"/>
        <w:gridCol w:w="4402"/>
        <w:gridCol w:w="1214"/>
        <w:gridCol w:w="1648"/>
        <w:gridCol w:w="1439"/>
      </w:tblGrid>
      <w:tr w:rsidR="00593A84" w14:paraId="2EABEAEE" w14:textId="77777777">
        <w:trPr>
          <w:cantSplit/>
          <w:trHeight w:val="86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A915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789F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  <w:p w14:paraId="090B5E7B" w14:textId="77777777" w:rsidR="00593A84" w:rsidRDefault="00593A84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4BAF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387D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593A84" w14:paraId="461DEEB5" w14:textId="77777777">
        <w:trPr>
          <w:cantSplit/>
          <w:trHeight w:val="28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65EF" w14:textId="77777777" w:rsidR="00593A84" w:rsidRDefault="00593A84">
            <w:pPr>
              <w:widowControl w:val="0"/>
              <w:spacing w:after="0" w:line="22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4183" w14:textId="77777777" w:rsidR="00593A84" w:rsidRDefault="00593A84">
            <w:pPr>
              <w:widowControl w:val="0"/>
              <w:spacing w:after="0" w:line="22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2791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AB82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7F28" w14:textId="77777777" w:rsidR="00593A84" w:rsidRDefault="00593A84">
            <w:pPr>
              <w:widowControl w:val="0"/>
              <w:spacing w:after="0" w:line="22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A84" w14:paraId="6CA5EA6B" w14:textId="77777777">
        <w:trPr>
          <w:cantSplit/>
          <w:trHeight w:val="2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730B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25F2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6A31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29290,7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92E6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31217,2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44C3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106,6</w:t>
            </w:r>
          </w:p>
        </w:tc>
      </w:tr>
      <w:tr w:rsidR="00593A84" w14:paraId="3621B049" w14:textId="77777777">
        <w:trPr>
          <w:cantSplit/>
          <w:trHeight w:val="2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F532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4F6A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5D98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30426,9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39A7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35568,3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A6AA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116,9</w:t>
            </w:r>
          </w:p>
        </w:tc>
      </w:tr>
      <w:tr w:rsidR="00593A84" w14:paraId="64C83E75" w14:textId="77777777">
        <w:trPr>
          <w:cantSplit/>
          <w:trHeight w:val="27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A2E8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7593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Добыча полезных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ископаемых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5355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65875,4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AFEE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58396,4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2550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</w:tr>
      <w:tr w:rsidR="00593A84" w14:paraId="1BE67A8C" w14:textId="77777777">
        <w:trPr>
          <w:cantSplit/>
          <w:trHeight w:val="1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AE2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6E06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A1A3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29812,0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D2AA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35509,2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A58B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</w:tr>
      <w:tr w:rsidR="00593A84" w14:paraId="0C488C37" w14:textId="77777777">
        <w:trPr>
          <w:cantSplit/>
          <w:trHeight w:val="1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769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0D16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B4E0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25761,4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B7A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28638,1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2058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</w:tr>
      <w:tr w:rsidR="00593A84" w14:paraId="2C6A5074" w14:textId="77777777">
        <w:trPr>
          <w:cantSplit/>
          <w:trHeight w:val="1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CEF4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5097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Водоснабжение, водоотведение, организация сбора и утилизация отходов,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по ликвидации загрязнений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848C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24659,1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AF1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25388,0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F199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</w:tr>
      <w:tr w:rsidR="00593A84" w14:paraId="45E3A87F" w14:textId="77777777">
        <w:trPr>
          <w:cantSplit/>
          <w:trHeight w:val="16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2BC4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A576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A6F7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25243,2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1864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27307,9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72D1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</w:tr>
      <w:tr w:rsidR="00593A84" w14:paraId="766062C7" w14:textId="77777777">
        <w:trPr>
          <w:cantSplit/>
          <w:trHeight w:val="1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F18B" w14:textId="77777777" w:rsidR="00593A84" w:rsidRDefault="00075A3C">
            <w:pPr>
              <w:widowControl w:val="0"/>
              <w:spacing w:after="0" w:line="22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406D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9B1E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20885,2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21D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23189,2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A1CE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</w:tr>
      <w:tr w:rsidR="00593A84" w14:paraId="6388CD66" w14:textId="77777777">
        <w:trPr>
          <w:cantSplit/>
          <w:trHeight w:val="14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71BD" w14:textId="77777777" w:rsidR="00593A84" w:rsidRDefault="00075A3C">
            <w:pPr>
              <w:widowControl w:val="0"/>
              <w:spacing w:after="0" w:line="227" w:lineRule="exact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4CD6" w14:textId="77777777" w:rsidR="00593A84" w:rsidRDefault="00075A3C">
            <w:pPr>
              <w:widowControl w:val="0"/>
              <w:spacing w:after="0" w:line="22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53CE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28481,2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EA2A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28689,1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2F6A" w14:textId="77777777" w:rsidR="00593A84" w:rsidRDefault="00075A3C">
            <w:pPr>
              <w:widowControl w:val="0"/>
              <w:spacing w:after="0" w:line="22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</w:tr>
    </w:tbl>
    <w:p w14:paraId="123C9E5F" w14:textId="77777777" w:rsidR="00593A84" w:rsidRDefault="00593A84">
      <w:pPr>
        <w:spacing w:after="0" w:line="227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14:paraId="3A944D99" w14:textId="77777777" w:rsidR="00593A84" w:rsidRDefault="00075A3C">
      <w:pPr>
        <w:widowControl w:val="0"/>
        <w:spacing w:after="0" w:line="240" w:lineRule="auto"/>
        <w:ind w:firstLine="737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По состоянию на 01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октября 202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года сохраня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лась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просроченная задолженность по заработной плате в АО «Светлоградский маслоэкстракционный завод» (перед 96 работниками), ОАО «Светлоградский элеватор» (перед 93 работниками) на общую сумму 33,8 млн. рублей.</w:t>
      </w:r>
    </w:p>
    <w:p w14:paraId="6671AB11" w14:textId="0FE896B5" w:rsidR="00593A84" w:rsidRDefault="00075A3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программы «Социальная поддержка граждан» управлением труда и социальной защиты населения Ставропольского края </w:t>
      </w:r>
      <w:bookmarkStart w:id="5" w:name="_Hlk7284215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социальной поддержки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предоставлены 100% граждан, обратившихся и имеющих право на получение меры социальной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держки, на общую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517,1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рублей, в том числе в рамках регионального проекта Ставропольского края «Финансовая поддержка семей при рождении детей» - 68,2 млн. рублей. </w:t>
      </w:r>
    </w:p>
    <w:p w14:paraId="31BC85C4" w14:textId="75172005" w:rsidR="00593A84" w:rsidRDefault="007F0630">
      <w:pPr>
        <w:widowControl w:val="0"/>
        <w:spacing w:after="0" w:line="240" w:lineRule="auto"/>
        <w:ind w:firstLine="708"/>
        <w:jc w:val="both"/>
        <w:rPr>
          <w:color w:val="C9211E"/>
        </w:rPr>
      </w:pPr>
      <w:bookmarkStart w:id="6" w:name="_Hlk528678702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Значительное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негативную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демографическ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 w:rsidRPr="007F063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07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распространени</w:t>
      </w:r>
      <w:r w:rsidR="0007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новой коронавирусной инфекции COVID-19</w:t>
      </w:r>
      <w:r w:rsidR="0007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075A3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Управления ЗА</w:t>
      </w:r>
      <w:r w:rsidR="0007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ГС Ставропольского края общее число родившихся в округе за январь — сентябрь 2021 года (323 новорожденных) в 3,1 раза ниже, чем число умерших (1004 человека). </w:t>
      </w:r>
    </w:p>
    <w:p w14:paraId="28647AD5" w14:textId="77777777" w:rsidR="00593A84" w:rsidRDefault="00593A84">
      <w:pPr>
        <w:widowControl w:val="0"/>
        <w:spacing w:after="0" w:line="240" w:lineRule="auto"/>
        <w:ind w:firstLine="708"/>
        <w:jc w:val="both"/>
        <w:rPr>
          <w:color w:val="C9211E"/>
        </w:rPr>
      </w:pPr>
    </w:p>
    <w:p w14:paraId="0A0E16B6" w14:textId="3A685974" w:rsidR="00593A84" w:rsidRDefault="00075A3C" w:rsidP="00075A3C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</w:rPr>
        <w:t>Таким образом социально-экономическое развитие округа в анализируемом периоде характеризуется стабильным развитием социальной сферы, положительной динамикой средней месячной заработной платы одного работающего, увеличением объемов производства отдельных ви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дов сельскохозяйственной продукции,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ростом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прибыли,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полученной организациями округа.</w:t>
      </w:r>
      <w:r>
        <w:rPr>
          <w:color w:val="000000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>Вместе с тем сохраняются и негативные тенденции: сокращение численности населения, убыточная деятельность ряда организаций, наличие просроченной задолженности по заработной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плате.</w:t>
      </w:r>
    </w:p>
    <w:p w14:paraId="5989ECA7" w14:textId="77777777" w:rsidR="00593A84" w:rsidRDefault="00593A84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C9211E"/>
          <w:sz w:val="28"/>
          <w:szCs w:val="28"/>
        </w:rPr>
      </w:pPr>
    </w:p>
    <w:p w14:paraId="3F89F3BC" w14:textId="77777777" w:rsidR="00075A3C" w:rsidRDefault="00075A3C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</w:p>
    <w:p w14:paraId="172419F1" w14:textId="77777777" w:rsidR="00075A3C" w:rsidRDefault="00075A3C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</w:p>
    <w:p w14:paraId="73DAC5EA" w14:textId="2A58438C" w:rsidR="00593A84" w:rsidRDefault="00075A3C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Первый заместитель главы администрации -</w:t>
      </w:r>
    </w:p>
    <w:p w14:paraId="2AE7A462" w14:textId="77777777" w:rsidR="00593A84" w:rsidRDefault="00075A3C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начальник финансового управления</w:t>
      </w:r>
    </w:p>
    <w:p w14:paraId="139A1F8B" w14:textId="77777777" w:rsidR="00593A84" w:rsidRDefault="00075A3C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администрации Петровского городского  </w:t>
      </w:r>
    </w:p>
    <w:p w14:paraId="1AB8C61B" w14:textId="31D4909B" w:rsidR="00593A84" w:rsidRDefault="00075A3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округа Ставропольского края                            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               В.П.Сухомлинова</w:t>
      </w:r>
    </w:p>
    <w:p w14:paraId="42BC5038" w14:textId="4D5E39E0" w:rsidR="00075A3C" w:rsidRDefault="00075A3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32DF35CB" w14:textId="381F8A68" w:rsidR="00075A3C" w:rsidRDefault="00075A3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2D0D9392" w14:textId="36F686EA" w:rsidR="00075A3C" w:rsidRPr="00075A3C" w:rsidRDefault="00075A3C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</w:pPr>
      <w:r w:rsidRPr="00075A3C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 xml:space="preserve">исп.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>Кириленко Л.В.</w:t>
      </w:r>
    </w:p>
    <w:p w14:paraId="46AB2B75" w14:textId="52E88E01" w:rsidR="00075A3C" w:rsidRPr="00075A3C" w:rsidRDefault="00075A3C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>4-61-95</w:t>
      </w:r>
    </w:p>
    <w:sectPr w:rsidR="00075A3C" w:rsidRPr="00075A3C">
      <w:pgSz w:w="11906" w:h="16838"/>
      <w:pgMar w:top="1077" w:right="624" w:bottom="1077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Verdana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5BFF"/>
    <w:multiLevelType w:val="multilevel"/>
    <w:tmpl w:val="11FAE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84"/>
    <w:rsid w:val="00075A3C"/>
    <w:rsid w:val="0029646A"/>
    <w:rsid w:val="00403801"/>
    <w:rsid w:val="004264E7"/>
    <w:rsid w:val="004F0583"/>
    <w:rsid w:val="00556C91"/>
    <w:rsid w:val="00593A84"/>
    <w:rsid w:val="00790B7A"/>
    <w:rsid w:val="007F0630"/>
    <w:rsid w:val="008D600A"/>
    <w:rsid w:val="00A26892"/>
    <w:rsid w:val="00B16CB0"/>
    <w:rsid w:val="00E64970"/>
    <w:rsid w:val="00E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C7D"/>
  <w15:docId w15:val="{B5468368-F29C-4142-971F-64E13D7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BC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2"/>
    <w:uiPriority w:val="99"/>
    <w:qFormat/>
    <w:rsid w:val="00EC10E6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2"/>
    <w:link w:val="22"/>
    <w:uiPriority w:val="99"/>
    <w:qFormat/>
    <w:rsid w:val="00BA7F6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basedOn w:val="a2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3">
    <w:name w:val="Body Text Indent 2"/>
    <w:basedOn w:val="a"/>
    <w:uiPriority w:val="99"/>
    <w:unhideWhenUsed/>
    <w:qFormat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qFormat/>
    <w:rsid w:val="00A95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A7F6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Document Map"/>
    <w:qFormat/>
    <w:pPr>
      <w:spacing w:after="160" w:line="252" w:lineRule="auto"/>
    </w:pPr>
    <w:rPr>
      <w:rFonts w:eastAsia="Times New Roman" w:cs="Calibri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pPr>
      <w:spacing w:after="160" w:line="254" w:lineRule="auto"/>
    </w:pPr>
    <w:rPr>
      <w:rFonts w:eastAsia="Times New Roman" w:cs="Calibri"/>
      <w:sz w:val="22"/>
    </w:rPr>
  </w:style>
  <w:style w:type="paragraph" w:styleId="af1">
    <w:name w:val="No Spacing"/>
    <w:qFormat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Кириленко Лариса Васильевна</cp:lastModifiedBy>
  <cp:revision>85</cp:revision>
  <cp:lastPrinted>2021-11-03T16:20:00Z</cp:lastPrinted>
  <dcterms:created xsi:type="dcterms:W3CDTF">2020-07-23T06:58:00Z</dcterms:created>
  <dcterms:modified xsi:type="dcterms:W3CDTF">2021-11-09T12:00:00Z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