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о социально-экономическом развитии Петровского городского округа Ставропольского края за первый квартал 2022 года</w:t>
      </w:r>
    </w:p>
    <w:p>
      <w:pPr>
        <w:pStyle w:val="Normal"/>
        <w:spacing w:lineRule="exact" w:line="283" w:before="0" w:after="0"/>
        <w:jc w:val="center"/>
        <w:rPr>
          <w:rFonts w:ascii="Times New Roman" w:hAnsi="Times New Roman" w:eastAsia="Lucida Sans Unicode" w:cs="Tahoma"/>
          <w:bCs/>
          <w:color w:val="000000"/>
          <w:sz w:val="28"/>
          <w:szCs w:val="28"/>
        </w:rPr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В Петровском городском округе Ставропольского края (далее — округ) осуществляют деятельность 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14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организаций, не относящихся к субъектам малого и среднего предпринимательства (далее — субъект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>ы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МСП). По статистическим данным оборот организаций не относящихся к субъектам МСП, отражающий их коммерческую деятельность, за январь – март 2022 года 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составил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5151,2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млн. рублей при темпе роста 1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28,3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>% к показателю аналогичного периода 2021 года, н</w:t>
      </w:r>
      <w:r>
        <w:rPr>
          <w:rFonts w:eastAsia="Lucida Sans Unicode" w:cs="Times New Roman" w:ascii="Times New Roman" w:hAnsi="Times New Roman"/>
          <w:bCs/>
          <w:color w:val="000000"/>
          <w:sz w:val="28"/>
          <w:szCs w:val="28"/>
        </w:rPr>
        <w:t xml:space="preserve">а долю промышленности и сельского хозяйства приходится </w:t>
      </w:r>
      <w:r>
        <w:rPr>
          <w:rFonts w:eastAsia="Lucida Sans Unicode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53,6</w:t>
      </w:r>
      <w:r>
        <w:rPr>
          <w:rFonts w:eastAsia="Lucida Sans Unicode" w:cs="Times New Roman" w:ascii="Times New Roman" w:hAnsi="Times New Roman"/>
          <w:bCs/>
          <w:color w:val="000000"/>
          <w:sz w:val="28"/>
          <w:szCs w:val="28"/>
        </w:rPr>
        <w:t xml:space="preserve">% оборота.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eastAsia="Lucida Sans Unicode" w:cs="Tahoma" w:ascii="Times New Roman" w:hAnsi="Times New Roman"/>
          <w:b w:val="false"/>
          <w:bCs/>
          <w:color w:val="000000"/>
          <w:sz w:val="28"/>
          <w:szCs w:val="28"/>
        </w:rPr>
        <w:t xml:space="preserve">организаций не относящихся к субъектам МСП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(далее – товаров собственного производства) в отчетном периоде достиг 2465,3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млн. рублей,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что в 1,6 раз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превышает показатель за январь - март 2021</w:t>
      </w:r>
      <w:bookmarkStart w:id="0" w:name="_Hlk519663658"/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года</w:t>
      </w:r>
      <w:bookmarkEnd w:id="0"/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По промышленным видам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экономической деятельности данный показатель составляет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2043,9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млн. рублей,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что в 1,5 раза превышает показатель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аналогичного периода прошлого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около 62,6%. Обрабатывающими предприятиями отгружено товаров собственного производства на сумму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1278,7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млн. рублей, что в 1,9 раз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а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превышает показатель аналогичного периода прошлого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Объем отгруженной продукции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</w:rPr>
        <w:t>сельского хозяйства составил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291,1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млн. рублей, что в 2,6 раз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а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превышает значение показателя за соответствующий период прошлого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По оперативным данным в хозяйствах всех категорий на 01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2022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года содержалось: крупного рогатого скота 10,6 </w:t>
      </w:r>
      <w:bookmarkStart w:id="1" w:name="__DdeLink__169_1445205933"/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тыс. голов,</w:t>
      </w:r>
      <w:bookmarkEnd w:id="1"/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в том числе  5,4 тыс. голов коров дойного стада, свиней около 10,0 тыс. голов, овец 14,6 тыс. голов, птицы 1,6 млн. голов.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 квартале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года в хозяйствах всех категорий произведено (выращено) мяса скота и птицы 6,5 тыс. тонн, что составляет 92,0% к показателю прошлого года. Производство молока осталось на уровне 1 квартала 2021 года и составляет 5,2 тыс. тонн. Удой на 1 корову дойного стада в сельскохозяйственных организациях составил 1858 килограммов.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По виду экономической деятельности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</w:rPr>
        <w:t>«строительство»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в отчетном периоде выполнено работ на сумму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25,8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млн. рублей при темпе роста 121,6% к показателю аналогичного периода прошлого года. 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>За счет средств индивидуальных застройщико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в введены в эксплуатацию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2065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кв. м. жилых площадей, темп роста к показателю за январь - март 2021 года составил 66,8%. 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Объем платных услуг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 населению, оказанных организациями, не относящимися к субъектам МСП, за январь - март 2022 года увеличился до 1018,1 млн. рублей при темпе роста к уровню аналогичного периода 2021 года 1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>29,0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>%.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По данным мониторинга инвестиционной деятельности 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shd w:fill="auto" w:val="clear"/>
        </w:rPr>
        <w:t>объем инвестиций в основной капитал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(за исключением бюджетных средств) за         1 квартал 2022 года составил 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401,5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млн. рублей. </w:t>
      </w:r>
    </w:p>
    <w:p>
      <w:pPr>
        <w:pStyle w:val="Normal"/>
        <w:widowControl/>
        <w:shd w:val="clear" w:color="auto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По состоянию на 01 апреля 2022 года в округе продолжается реализация 14 инвестиционных проектов, из них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5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проектов реализуют субъекты малого предпринимательства.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По состоянию на 01 апреля 2022 года на территории округа осуществляли деятельность 2113 хозяйствующих субъектов, в том числе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1883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</w:rPr>
        <w:t>субъект</w:t>
      </w:r>
      <w:r>
        <w:rPr>
          <w:rFonts w:eastAsia="Lucida Sans Unicode" w:cs="Tahoma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малого и среднего бизнеса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, из них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1683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индивидуальных предпринимателя (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79,6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% от общего числа 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хозяйствующих субъектов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) и 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00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юридических лиц. Кроме того, по данным Межрайонной ИФНС России № 3 по Ставропольскому краю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364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налогоплательщик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а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, состоящих на учете по месту жительства в Петровском городском округе Ставропольского края, применяют специальный налоговый режим «Налог на профессиональный доход».</w:t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2" w:name="_Hlk528677365"/>
      <w:bookmarkEnd w:id="2"/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В отчетном периоде микрозаймы НМО «Фонд микрофинансирования субъектов малого и среднего предпринимательства в Ставропольском крае» предоставлены 3 субъектам МСП на общую сумму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7,0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млн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. рублей.                    ГУП СК «Гарантийный фонд поддержки субъектов малого и среднего предпринимательства в Ставропольском крае» предоставлено 3 поручительства на сумму 93,1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млн.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рублей.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НО </w:t>
      </w:r>
      <w:r>
        <w:rPr>
          <w:rFonts w:ascii="Times New Roman" w:hAnsi="Times New Roman"/>
          <w:sz w:val="28"/>
          <w:szCs w:val="28"/>
          <w:shd w:fill="auto" w:val="clear"/>
          <w:lang w:eastAsia="ru-RU"/>
        </w:rPr>
        <w:t xml:space="preserve">«Фонд поддержки предпринимательства в Ставропольском крае»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субъектам малого и среднего предпринимательства было оказано 7 услуг (по мерам поддержки, об открытии бизнеса, бизнес-планировании т.д.).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Субсидию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возмещение части стоимости приобретенного технологического оборудования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 сумме 0,11 млн. рублей получил 1 субъект МСП, осуществляющий деятельность в сфере пищевой и перерабатывающей промышленности.</w:t>
      </w:r>
    </w:p>
    <w:p>
      <w:pPr>
        <w:pStyle w:val="Normal"/>
        <w:widowControl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/>
          <w:b/>
          <w:color w:val="000000"/>
          <w:sz w:val="28"/>
          <w:szCs w:val="28"/>
          <w:shd w:fill="auto" w:val="clear"/>
        </w:rPr>
        <w:t>Сальдированный финансовый результат деятельности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организаций без субъектов МСП, банков, страховых организаций и бюджетных учреждений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за январь - февраль текущего года сложился положительным и составил 129,1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млн. рублей, темп роста к показателю аналогичного периода прошлого года 107,7%. Прибыль в размере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159,3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млн. рублей получили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63,2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%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организаций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округа. Убыток в размере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30,2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млн. рублей получили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36,8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%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организаций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округа.</w:t>
      </w:r>
    </w:p>
    <w:p>
      <w:pPr>
        <w:pStyle w:val="Normal"/>
        <w:widowControl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В </w:t>
      </w:r>
      <w:r>
        <w:rPr>
          <w:rFonts w:eastAsia="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бюджет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Петровского городского округа Ставропольского края (далее –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shd w:fill="auto" w:val="clear"/>
        </w:rPr>
        <w:t>бюджет округа)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за 1 квартал 2022 года поступило 521,7                        млн. рублей доходов. По состоянию на 01 апреля 2022 года доходная часть  бюджета округа исполнена на 23,4% к годовым бюджетным назначениям (запланировано 2228,1 млн. рублей). В общей сумме поступлений 23,6% или 123,0 млн. рублей составили налоговые и неналоговые доходы. Безвозмездные поступления занимают 76,4% всех доходов местного бюджета.</w:t>
      </w:r>
    </w:p>
    <w:p>
      <w:pPr>
        <w:pStyle w:val="Normal"/>
        <w:spacing w:lineRule="auto" w:line="240" w:before="0" w:after="0"/>
        <w:ind w:firstLine="603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shd w:fill="auto" w:val="clear"/>
        </w:rPr>
        <w:t xml:space="preserve">Объем планируемых расходов бюджета округа на 2022 год в течение первого квартала 2022 года увеличился по сравнению с первоначально принятым бюджетом на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593,3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shd w:fill="auto" w:val="clear"/>
        </w:rPr>
        <w:t xml:space="preserve"> млн. рублей и составил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2881,8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shd w:fill="auto" w:val="clear"/>
        </w:rPr>
        <w:t xml:space="preserve">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Кассовое исполнение бюджета округа осуществлялось в рамках реализации 14 муниципальных программ Петровского городского округа Ставропольского края (далее - муниципальные программы).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Кассовое исполнение за отчетный период сложилось в сумме 502,4 млн. рублей или 17,4% к уточненному годовому плану. Непрограммная часть занимает 2,3% от общего объема расходов бюджета округа. Кассовый план исполнения  бюджета 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>округа</w:t>
      </w:r>
      <w:r>
        <w:rPr>
          <w:rFonts w:eastAsia="" w:cs="Times New Roman" w:ascii="Times New Roman" w:hAnsi="Times New Roman"/>
          <w:color w:val="000000"/>
          <w:sz w:val="28"/>
          <w:szCs w:val="28"/>
          <w:shd w:fill="auto" w:val="clear"/>
        </w:rPr>
        <w:t xml:space="preserve"> на первый квартал 2022 года сформирован в объеме 554,3 млн. рублей, соответственно, бюджетные средства использованы на 90,6%, что выше показателя за аналогичный период прошлого года на 7,4%.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</w:rPr>
        <w:t xml:space="preserve">В отчетном периоде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в ходе реализации мероприятий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shd w:fill="auto" w:val="clear"/>
        </w:rPr>
        <w:t xml:space="preserve"> муниципальных программ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</w:rPr>
        <w:t xml:space="preserve">осуществлялась реализация проектов, основанных на местных инициативах. Приобретена коммунальная техника для уборки улиц г. Светлограда. Начаты работы по благоустройству городского кладбища № 1 в г. Светлограде, пешеходной зоны в с. Благодатное, парковой зоны в с. Высоцкое, детских игровых площадок в селах Гофицкое, Сухая Буйвола,  Просянка, территории, прилегающей к Дому культуры с. Рогатая Балка. Начаты работы по ремонту пешеходных дорожек и оборудование освещения центральной аллеи в парковой зоне пос. Прикалаусский.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Всего в 2022 году планируется реализовать 13 проектов, основанных на местных инициативах.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Lucida Sans Unicode" w:cs="Tahoma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eastAsia="en-US"/>
        </w:rPr>
        <w:t>В округе решена проблема доступности</w:t>
      </w:r>
      <w:r>
        <w:rPr>
          <w:rFonts w:eastAsia="Lucida Sans Unicode" w:cs="Tahoma" w:ascii="Times New Roman" w:hAnsi="Times New Roman"/>
          <w:b/>
          <w:i w:val="false"/>
          <w:iCs w:val="false"/>
          <w:color w:val="000000"/>
          <w:sz w:val="28"/>
          <w:szCs w:val="28"/>
          <w:shd w:fill="auto" w:val="clear"/>
          <w:lang w:eastAsia="en-US"/>
        </w:rPr>
        <w:t xml:space="preserve"> дошкольного образования,</w:t>
      </w:r>
      <w:r>
        <w:rPr>
          <w:rFonts w:eastAsia="Lucida Sans Unicode" w:cs="Tahoma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eastAsia="en-US"/>
        </w:rPr>
        <w:t xml:space="preserve"> при наличии в детских садах 3583 мест, </w:t>
      </w:r>
      <w:r>
        <w:rPr>
          <w:rFonts w:eastAsia="Lucida Sans Unicode" w:cs="Tahoma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eastAsia="en-US"/>
        </w:rPr>
        <w:t>детские сады посещают 3</w:t>
      </w:r>
      <w:r>
        <w:rPr>
          <w:rFonts w:eastAsia="Lucida Sans Unicode" w:cs="Tahoma" w:ascii="Times New Roman" w:hAnsi="Times New Roman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062 ребенка</w:t>
      </w:r>
      <w:r>
        <w:rPr>
          <w:rFonts w:eastAsia="Lucida Sans Unicode" w:cs="Tahoma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eastAsia="en-US"/>
        </w:rPr>
        <w:t xml:space="preserve">. По состоянию на 01 апреля 2022 года на учете для определения в дошкольные образовательные организации состоит 166 детей в возрасте от 0 до 3 лет.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В 19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  <w:lang w:eastAsia="en-US"/>
        </w:rPr>
        <w:t>общеобразовательных организациях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 округа по состоянию на    01 апреля 2022 года обучал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  <w:lang w:eastAsia="en-US"/>
        </w:rPr>
        <w:t>ся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 6601 человек, </w:t>
      </w:r>
      <w:r>
        <w:rPr>
          <w:rFonts w:eastAsia="Lucida Sans Unicode" w:cs="Times New Roman CYR" w:ascii="Times New Roman" w:hAnsi="Times New Roman"/>
          <w:color w:val="000000"/>
          <w:sz w:val="28"/>
          <w:szCs w:val="28"/>
          <w:shd w:fill="auto" w:val="clear"/>
          <w:lang w:eastAsia="en-US"/>
        </w:rPr>
        <w:t>из них 1</w:t>
      </w:r>
      <w:r>
        <w:rPr>
          <w:rFonts w:eastAsia="Lucida Sans Unicode" w:cs="Times New Roman CYR" w:ascii="Times New Roman" w:hAnsi="Times New Roman"/>
          <w:color w:val="000000"/>
          <w:sz w:val="28"/>
          <w:szCs w:val="28"/>
          <w:shd w:fill="auto" w:val="clear"/>
          <w:lang w:eastAsia="en-US"/>
        </w:rPr>
        <w:t>4</w:t>
      </w:r>
      <w:r>
        <w:rPr>
          <w:rFonts w:eastAsia="Lucida Sans Unicode" w:cs="Times New Roman CYR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 получают общее образование вне образовательной организации в семейной форме. В рамках муниципальной программы «Развитие образования» организованно бесплатное горячее питание 28</w:t>
      </w:r>
      <w:r>
        <w:rPr>
          <w:rFonts w:eastAsia="Lucida Sans Unicode" w:cs="Times New Roman CYR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99</w:t>
      </w:r>
      <w:r>
        <w:rPr>
          <w:rFonts w:eastAsia="Lucida Sans Unicode" w:cs="Times New Roman CYR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 школьников, получающих начальное общее образование.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</w:rPr>
        <w:t xml:space="preserve">В округе продолжается работа по созданию комфортных современных условий для обучения, развития инфраструктуры и улучшению санитарного состояния. Так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en-US" w:bidi="en-US"/>
        </w:rPr>
        <w:t>в МКОУ СОШ № 15 п. Прикалаусский ведутся</w:t>
      </w:r>
      <w:r>
        <w:rPr>
          <w:rFonts w:cs="Times New Roman" w:ascii="Times New Roman" w:hAnsi="Times New Roman"/>
          <w:sz w:val="28"/>
          <w:szCs w:val="28"/>
          <w:shd w:fill="auto" w:val="clear"/>
          <w:lang w:eastAsia="en-US"/>
        </w:rPr>
        <w:t xml:space="preserve"> работы по ремонту фасада здания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en-US" w:bidi="en-US"/>
        </w:rPr>
        <w:t xml:space="preserve">, в МКОУ СОШ № 5 г. Светлограда идет строительство спортзала, мастерской и спортивной площадки.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zh-CN" w:bidi="en-US"/>
        </w:rPr>
        <w:t>В рамках регионального проекта Ставропольского края «Успех каждого ребенка»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en-US" w:bidi="en-US"/>
        </w:rPr>
        <w:t xml:space="preserve">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zh-CN" w:bidi="en-US"/>
        </w:rPr>
        <w:t xml:space="preserve">начаты </w:t>
      </w:r>
      <w:r>
        <w:rPr>
          <w:rFonts w:cs="Times New Roman" w:ascii="Times New Roman" w:hAnsi="Times New Roman"/>
          <w:sz w:val="28"/>
          <w:szCs w:val="28"/>
          <w:shd w:fill="auto" w:val="clear"/>
          <w:lang w:eastAsia="zh-CN"/>
        </w:rPr>
        <w:t xml:space="preserve">работы по ремонту спортивного зала в МКОУ СОШ № 17 с. Сухая Буйвола.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Для молодежи округа за 1 квартал 2022 года проведено 9 мероприятий, охват молодежи массовыми мероприятиями составил 20%.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За 1 квартал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2022 года проведено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13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</w:rPr>
        <w:t>физкультурно-спортивных мероприятий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>. Спортсмены округа приняли участие в 2 межрайонных, 4 региональных, 1 межрегиональном и в 2 Всероссийских соревнованиях.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В отчетном периоде Домами культуры округа проведено более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>1000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  <w:lang w:eastAsia="ar-SA"/>
        </w:rPr>
        <w:t>культурных мероприятия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и программ различных форм направленности, которые посетили около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 xml:space="preserve">67,7 тыс. 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человек. Муниципальные музеи округа посетили около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 xml:space="preserve">1,3 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тыс. человек.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Библиотеками округа проведено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ar-SA" w:bidi="ar-SA"/>
        </w:rPr>
        <w:t>268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мероприятий, в которых приняли участие 7,9 тыс. человек.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>В рамках реализации регионального проекта «Культурная среда»   начаты работы по капитальному ремонту здания МКУК «Гофицкий историко-краеведческий музей им. Ю.И.Бельгарова».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  <w:shd w:fill="auto" w:val="clear"/>
        </w:rPr>
        <w:t>Среднесписочная численность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работников организаций, не относящихся к субъектам малого предпринимательства, за январь - февраль 2022 года составила 10,5 тыс. человек или 101,3% к значению показателя за аналогичный период 2021 года.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ar-SA"/>
        </w:rPr>
        <w:t xml:space="preserve">По данным ГКУ «ЦЗН Петровского района»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eastAsia="ar-SA"/>
        </w:rPr>
        <w:t>уровень регистрируемой безработицы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по состоянию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ar-SA"/>
        </w:rPr>
        <w:t xml:space="preserve"> марта 2022 года составлял 1,2% (на 31 марта 2021 — 5,1%). Численность официально зарегистрированных безработных - 391 человек. Потребность в работниках, заявленная работодателями в органы службы занятости населения 663 человека, коэффициент напряженности на рынке труда составляет 1,7.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shd w:fill="auto" w:val="clear"/>
        </w:rPr>
        <w:t>Среднемесячная заработная плата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работников списочного состава организаций, не относящихся к субъектам малого и среднего предпринимательства, за январь - февраль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года увеличилась до        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31309,0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рубл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ей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 при темпе роста 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10,5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>% к показателю аналогичного периода прошлого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C9211E"/>
          <w:sz w:val="20"/>
          <w:szCs w:val="20"/>
          <w:shd w:fill="FFFF00" w:val="clear"/>
        </w:rPr>
      </w:pPr>
      <w:r>
        <w:rPr>
          <w:rFonts w:ascii="Times New Roman" w:hAnsi="Times New Roman"/>
          <w:color w:val="C9211E"/>
          <w:sz w:val="20"/>
          <w:szCs w:val="20"/>
          <w:shd w:fill="FFFF00" w:val="clear"/>
        </w:rPr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Среднемесячная заработная плата по основным отраслям экономики</w:t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за январь - февраль </w:t>
      </w:r>
    </w:p>
    <w:p>
      <w:pPr>
        <w:pStyle w:val="Normal"/>
        <w:widowControl w:val="false"/>
        <w:suppressAutoHyphens w:val="true"/>
        <w:spacing w:lineRule="exact" w:line="227" w:before="0" w:after="0"/>
        <w:ind w:firstLine="708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3"/>
        <w:gridCol w:w="4402"/>
        <w:gridCol w:w="1214"/>
        <w:gridCol w:w="1648"/>
        <w:gridCol w:w="1439"/>
      </w:tblGrid>
      <w:tr>
        <w:trPr>
          <w:trHeight w:val="867" w:hRule="atLeast"/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Отрасли экономической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Темп роста, %</w:t>
            </w:r>
          </w:p>
        </w:tc>
      </w:tr>
      <w:tr>
        <w:trPr>
          <w:trHeight w:val="284" w:hRule="atLeast"/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</w:r>
          </w:p>
        </w:tc>
        <w:tc>
          <w:tcPr>
            <w:tcW w:w="4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21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2022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год</w:t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28333,2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31309,0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110,5</w:t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26822,3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31322,4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116,8</w:t>
            </w:r>
          </w:p>
        </w:tc>
      </w:tr>
      <w:tr>
        <w:trPr>
          <w:trHeight w:val="270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Добыча полезных ископаемых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44464,7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50099,6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112,7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Обрабатывающие производства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32956,1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40876,4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124,0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27142,4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28854,7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106,3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24964,8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25238,0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101,1</w:t>
            </w:r>
          </w:p>
        </w:tc>
      </w:tr>
      <w:tr>
        <w:trPr>
          <w:trHeight w:val="161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25604,0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27997,1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109,3</w:t>
            </w:r>
          </w:p>
        </w:tc>
      </w:tr>
      <w:tr>
        <w:trPr>
          <w:trHeight w:val="194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21777,9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24147,7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110,9</w:t>
            </w:r>
          </w:p>
        </w:tc>
      </w:tr>
      <w:tr>
        <w:trPr>
          <w:trHeight w:val="149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57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28817,7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29121,7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101,1</w:t>
            </w:r>
          </w:p>
        </w:tc>
      </w:tr>
    </w:tbl>
    <w:p>
      <w:pPr>
        <w:pStyle w:val="Normal"/>
        <w:spacing w:lineRule="exact" w:line="227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fill="FFFF00" w:val="clear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00" w:val="cle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ab/>
        <w:t xml:space="preserve">В рамках муниципальной программы «Социальная поддержка граждан» </w:t>
      </w:r>
      <w:bookmarkStart w:id="3" w:name="_Hlk7284215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меры социальной поддержки 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отдельным категориям граждан предоставлены 100% граждан, обратившихся и имеющих право на получение меры социальной поддержки, на общую сумму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>92,37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млн. рублей, в том числе в рамках регионального проекта Ставропольского края «Финансовая поддержка семей при рождении детей»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590 человек получили выплаты в сумме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28,1 млн. рублей.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В округе сохраняется негативная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демографическая ситуация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По данным Управления ЗАГС Ставропольского края общее число родившихся в округе за январь - март 2022 года (118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новорожденных) 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3,1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раза ниже, чем количество умерших (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367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человек). Естественная убыль населения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249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человек.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color w:val="C9211E"/>
          <w:sz w:val="28"/>
          <w:szCs w:val="28"/>
          <w:shd w:fill="FFFF00" w:val="clear"/>
        </w:rPr>
      </w:pPr>
      <w:r>
        <w:rPr>
          <w:rFonts w:ascii="Times New Roman" w:hAnsi="Times New Roman"/>
          <w:color w:val="C9211E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Таким образом социально-экономическое развитие округа в анализируемом периоде характеризуется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положительной динамикой производства продукции сельского хозяйства и промышленности,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увеличением средней месячной заработной платы одного работающего,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ростом</w:t>
      </w: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прибыли, полученной организациями округа,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развитием социальной инфраструктуры, улучшением качества жизни населения.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Вместе с тем сохраняются негативные тенденции: сокращение рождаемости и рост смертности, что существенно влияет на общую численность населения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  <w:shd w:fill="FFFF00" w:val="clear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  <w:shd w:fill="FFFF00" w:val="clear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  <w:shd w:fill="FFFF00" w:val="clear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shd w:fill="auto" w:val="clear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Первый заместитель главы администрации -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начальник финансового управления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 xml:space="preserve">администрации Петровского городского 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округа Ставропольского края                                                   В.П.Сухомлинова</w:t>
      </w:r>
    </w:p>
    <w:sectPr>
      <w:type w:val="nextPage"/>
      <w:pgSz w:w="11906" w:h="16838"/>
      <w:pgMar w:left="1985" w:right="624" w:header="0" w:top="1077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6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qFormat/>
    <w:rsid w:val="00ec10e6"/>
    <w:rPr>
      <w:rFonts w:ascii="Calibri" w:hAnsi="Calibri" w:eastAsia="Times New Roman" w:cs="Times New Roman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a7f6a"/>
    <w:rPr>
      <w:rFonts w:ascii="Times New Roman" w:hAnsi="Times New Roman" w:eastAsia="Lucida Sans Unicode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styleId="Style14">
    <w:name w:val="Символ нумерации"/>
    <w:qFormat/>
    <w:rPr/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f5d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ec10e6"/>
    <w:pPr>
      <w:spacing w:lineRule="auto" w:line="480" w:before="0" w:after="120"/>
      <w:ind w:left="283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a95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a7f6a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e36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Application>LibreOffice/7.0.6.2$Linux_X86_64 LibreOffice_project/00$Build-2</Application>
  <AppVersion>15.0000</AppVersion>
  <Pages>5</Pages>
  <Words>1550</Words>
  <Characters>10207</Characters>
  <CharactersWithSpaces>11969</CharactersWithSpaces>
  <Paragraphs>94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Отдел экономичесого развития</dc:creator>
  <dc:description/>
  <dc:language>ru-RU</dc:language>
  <cp:lastModifiedBy/>
  <cp:lastPrinted>2022-05-05T11:28:27Z</cp:lastPrinted>
  <dcterms:modified xsi:type="dcterms:W3CDTF">2022-05-05T13:27:45Z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