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rPr>
          <w:sz w:val="28"/>
          <w:szCs w:val="28"/>
        </w:rPr>
      </w:pPr>
      <w:r>
        <w:rPr>
          <w:sz w:val="28"/>
          <w:szCs w:val="28"/>
        </w:rPr>
      </w:r>
    </w:p>
    <w:tbl>
      <w:tblPr>
        <w:tblStyle w:val="ab"/>
        <w:tblW w:w="9353" w:type="dxa"/>
        <w:jc w:val="left"/>
        <w:tblInd w:w="0" w:type="dxa"/>
        <w:tblCellMar>
          <w:top w:w="0" w:type="dxa"/>
          <w:left w:w="108" w:type="dxa"/>
          <w:bottom w:w="0" w:type="dxa"/>
          <w:right w:w="108" w:type="dxa"/>
        </w:tblCellMar>
        <w:tblLook w:val="04a0" w:noVBand="1" w:noHBand="0" w:firstRow="1" w:lastRow="0" w:firstColumn="1" w:lastColumn="0"/>
      </w:tblPr>
      <w:tblGrid>
        <w:gridCol w:w="5156"/>
        <w:gridCol w:w="4196"/>
      </w:tblGrid>
      <w:tr>
        <w:trPr/>
        <w:tc>
          <w:tcPr>
            <w:tcW w:w="5156" w:type="dxa"/>
            <w:tcBorders>
              <w:top w:val="nil"/>
              <w:left w:val="nil"/>
              <w:bottom w:val="nil"/>
              <w:right w:val="nil"/>
            </w:tcBorders>
            <w:shd w:color="auto" w:fill="auto" w:val="clear"/>
          </w:tcPr>
          <w:p>
            <w:pPr>
              <w:pStyle w:val="Normal"/>
              <w:ind w:firstLine="709"/>
              <w:jc w:val="center"/>
              <w:rPr>
                <w:sz w:val="28"/>
                <w:szCs w:val="28"/>
              </w:rPr>
            </w:pPr>
            <w:r>
              <w:rPr>
                <w:sz w:val="28"/>
                <w:szCs w:val="28"/>
              </w:rPr>
            </w:r>
          </w:p>
        </w:tc>
        <w:tc>
          <w:tcPr>
            <w:tcW w:w="4196" w:type="dxa"/>
            <w:tcBorders>
              <w:top w:val="nil"/>
              <w:left w:val="nil"/>
              <w:bottom w:val="nil"/>
              <w:right w:val="nil"/>
            </w:tcBorders>
            <w:shd w:color="auto" w:fill="auto" w:val="clear"/>
          </w:tcPr>
          <w:p>
            <w:pPr>
              <w:pStyle w:val="Normal"/>
              <w:shd w:val="clear" w:color="auto" w:fill="FFFFFF"/>
              <w:tabs>
                <w:tab w:val="clear" w:pos="506"/>
                <w:tab w:val="right" w:pos="9354" w:leader="none"/>
              </w:tabs>
              <w:spacing w:lineRule="exact" w:line="240"/>
              <w:jc w:val="both"/>
              <w:rPr/>
            </w:pPr>
            <w:r>
              <w:rPr>
                <w:sz w:val="28"/>
                <w:szCs w:val="28"/>
              </w:rPr>
              <w:t>Главе Петровского городского округа Ставропольского края</w:t>
            </w:r>
          </w:p>
          <w:p>
            <w:pPr>
              <w:pStyle w:val="Normal"/>
              <w:shd w:val="clear" w:color="auto" w:fill="FFFFFF"/>
              <w:tabs>
                <w:tab w:val="clear" w:pos="506"/>
                <w:tab w:val="right" w:pos="9354" w:leader="none"/>
              </w:tabs>
              <w:spacing w:lineRule="exact" w:line="240"/>
              <w:ind w:firstLine="709"/>
              <w:jc w:val="both"/>
              <w:rPr>
                <w:sz w:val="28"/>
                <w:szCs w:val="28"/>
              </w:rPr>
            </w:pPr>
            <w:r>
              <w:rPr>
                <w:sz w:val="28"/>
                <w:szCs w:val="28"/>
              </w:rPr>
            </w:r>
          </w:p>
          <w:p>
            <w:pPr>
              <w:pStyle w:val="Normal"/>
              <w:spacing w:lineRule="exact" w:line="240"/>
              <w:jc w:val="both"/>
              <w:rPr/>
            </w:pPr>
            <w:r>
              <w:rPr>
                <w:sz w:val="28"/>
                <w:szCs w:val="28"/>
              </w:rPr>
              <w:t>А.А.Захарченко</w:t>
            </w:r>
          </w:p>
        </w:tc>
      </w:tr>
    </w:tbl>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rPr>
          <w:sz w:val="28"/>
          <w:szCs w:val="28"/>
        </w:rPr>
      </w:pPr>
      <w:r>
        <w:rPr>
          <w:sz w:val="28"/>
          <w:szCs w:val="28"/>
        </w:rPr>
      </w:r>
    </w:p>
    <w:p>
      <w:pPr>
        <w:pStyle w:val="Normal"/>
        <w:shd w:val="clear" w:color="auto" w:fill="FFFFFF"/>
        <w:ind w:firstLine="709"/>
        <w:jc w:val="center"/>
        <w:rPr>
          <w:sz w:val="28"/>
          <w:szCs w:val="28"/>
        </w:rPr>
      </w:pPr>
      <w:r>
        <w:rPr>
          <w:color w:val="050404"/>
          <w:sz w:val="28"/>
          <w:szCs w:val="28"/>
        </w:rPr>
        <w:t>ИНФОРМАЦИЯ</w:t>
      </w:r>
    </w:p>
    <w:p>
      <w:pPr>
        <w:pStyle w:val="Normal"/>
        <w:spacing w:lineRule="exact" w:line="240"/>
        <w:jc w:val="both"/>
        <w:rPr/>
      </w:pPr>
      <w:r>
        <w:rPr>
          <w:color w:val="050404"/>
          <w:sz w:val="28"/>
          <w:szCs w:val="28"/>
        </w:rPr>
        <w:t xml:space="preserve">о реализации постановления администрации Петровского городского округа Ставропольского края от 11 апреля 2018 г. № 528 «Об утверждении Порядка разработки, реализации и оценки эффективности муниципальных программ Петровского городского округа Ставропольского края» </w:t>
      </w:r>
      <w:r>
        <w:rPr>
          <w:rFonts w:eastAsia="Times New Roman" w:cs="Times New Roman"/>
          <w:color w:val="050404"/>
          <w:sz w:val="28"/>
          <w:szCs w:val="28"/>
          <w:lang w:eastAsia="ru-RU"/>
        </w:rPr>
        <w:t xml:space="preserve">(в ред. от 30 августа 2018 года № 1547, от 11 января 2019 года № 9, от 8 августа 2019 года № 1645, </w:t>
      </w:r>
      <w:r>
        <w:rPr>
          <w:rFonts w:eastAsia="Calibri" w:cs="Times New Roman"/>
          <w:color w:val="050404"/>
          <w:sz w:val="28"/>
          <w:szCs w:val="28"/>
          <w:lang w:eastAsia="en-US"/>
        </w:rPr>
        <w:t xml:space="preserve">от </w:t>
      </w:r>
      <w:r>
        <w:rPr>
          <w:rFonts w:eastAsia="Calibri" w:cs="Times New Roman"/>
          <w:color w:val="050404"/>
          <w:sz w:val="28"/>
          <w:szCs w:val="28"/>
          <w:lang w:val="ru-RU" w:eastAsia="en-US"/>
        </w:rPr>
        <w:t xml:space="preserve">06 июля 2020 г. № 867, </w:t>
      </w:r>
      <w:r>
        <w:rPr>
          <w:rFonts w:eastAsia="Calibri" w:cs="Times New Roman"/>
          <w:b w:val="false"/>
          <w:i w:val="false"/>
          <w:caps w:val="false"/>
          <w:smallCaps w:val="false"/>
          <w:color w:val="050404"/>
          <w:spacing w:val="0"/>
          <w:sz w:val="28"/>
          <w:szCs w:val="28"/>
          <w:lang w:val="ru-RU" w:eastAsia="en-US"/>
        </w:rPr>
        <w:t>от 22 сентября 2021 г. № 1529</w:t>
      </w:r>
      <w:r>
        <w:rPr>
          <w:rFonts w:eastAsia="Times New Roman" w:cs="Times New Roman"/>
          <w:color w:val="050404"/>
          <w:sz w:val="28"/>
          <w:szCs w:val="28"/>
          <w:lang w:eastAsia="ru-RU"/>
        </w:rPr>
        <w:t>)</w:t>
      </w:r>
      <w:r>
        <w:rPr>
          <w:color w:val="050404"/>
          <w:sz w:val="28"/>
          <w:szCs w:val="28"/>
        </w:rPr>
        <w:t xml:space="preserve"> за </w:t>
      </w:r>
      <w:r>
        <w:rPr>
          <w:color w:val="050404"/>
          <w:sz w:val="28"/>
          <w:szCs w:val="28"/>
          <w:lang w:val="ru-RU"/>
        </w:rPr>
        <w:t>9 месяцев</w:t>
      </w:r>
      <w:r>
        <w:rPr>
          <w:color w:val="050404"/>
          <w:sz w:val="28"/>
          <w:szCs w:val="28"/>
        </w:rPr>
        <w:t xml:space="preserve"> 202</w:t>
      </w:r>
      <w:r>
        <w:rPr>
          <w:color w:val="050404"/>
          <w:sz w:val="28"/>
          <w:szCs w:val="28"/>
          <w:lang w:val="ru-RU"/>
        </w:rPr>
        <w:t xml:space="preserve">1 </w:t>
      </w:r>
      <w:r>
        <w:rPr>
          <w:color w:val="050404"/>
          <w:sz w:val="28"/>
          <w:szCs w:val="28"/>
        </w:rPr>
        <w:t>года</w:t>
      </w:r>
    </w:p>
    <w:p>
      <w:pPr>
        <w:pStyle w:val="Normal"/>
        <w:jc w:val="both"/>
        <w:rPr>
          <w:color w:val="C9211E"/>
          <w:sz w:val="28"/>
          <w:szCs w:val="28"/>
        </w:rPr>
      </w:pPr>
      <w:r>
        <w:rPr>
          <w:color w:val="C9211E"/>
          <w:sz w:val="28"/>
          <w:szCs w:val="28"/>
        </w:rPr>
      </w:r>
    </w:p>
    <w:p>
      <w:pPr>
        <w:pStyle w:val="Normal"/>
        <w:ind w:firstLine="709"/>
        <w:jc w:val="both"/>
        <w:rPr/>
      </w:pPr>
      <w:r>
        <w:rPr>
          <w:color w:val="090909"/>
          <w:sz w:val="28"/>
          <w:szCs w:val="28"/>
        </w:rPr>
        <w:t xml:space="preserve">п. 35. В </w:t>
      </w:r>
      <w:r>
        <w:rPr>
          <w:color w:val="090909"/>
          <w:sz w:val="28"/>
          <w:szCs w:val="28"/>
          <w:lang w:val="ru-RU"/>
        </w:rPr>
        <w:t>отчетном периоде</w:t>
      </w:r>
      <w:r>
        <w:rPr>
          <w:color w:val="090909"/>
          <w:sz w:val="28"/>
          <w:szCs w:val="28"/>
        </w:rPr>
        <w:t xml:space="preserve"> 202</w:t>
      </w:r>
      <w:r>
        <w:rPr>
          <w:color w:val="090909"/>
          <w:sz w:val="28"/>
          <w:szCs w:val="28"/>
          <w:lang w:val="ru-RU"/>
        </w:rPr>
        <w:t>1</w:t>
      </w:r>
      <w:r>
        <w:rPr>
          <w:color w:val="090909"/>
          <w:sz w:val="28"/>
          <w:szCs w:val="28"/>
        </w:rPr>
        <w:t xml:space="preserve"> года на территории Петровского городского округа Ставропольского края (далее - округ) продолжена реализация мероприятий 1</w:t>
      </w:r>
      <w:r>
        <w:rPr>
          <w:color w:val="090909"/>
          <w:sz w:val="28"/>
          <w:szCs w:val="28"/>
          <w:lang w:val="ru-RU"/>
        </w:rPr>
        <w:t>4</w:t>
      </w:r>
      <w:r>
        <w:rPr>
          <w:color w:val="090909"/>
          <w:sz w:val="28"/>
          <w:szCs w:val="28"/>
        </w:rPr>
        <w:t xml:space="preserve"> муниципальных программ Петровского городского округа Ставропольского края (далее - программ).</w:t>
      </w:r>
    </w:p>
    <w:p>
      <w:pPr>
        <w:pStyle w:val="Normal"/>
        <w:ind w:firstLine="709"/>
        <w:jc w:val="both"/>
        <w:rPr/>
      </w:pPr>
      <w:r>
        <w:rPr>
          <w:color w:val="090909"/>
          <w:sz w:val="28"/>
          <w:szCs w:val="28"/>
        </w:rPr>
        <w:t xml:space="preserve">В течение </w:t>
      </w:r>
      <w:r>
        <w:rPr>
          <w:color w:val="090909"/>
          <w:sz w:val="28"/>
          <w:szCs w:val="28"/>
          <w:lang w:val="ru-RU"/>
        </w:rPr>
        <w:t>9 месяцев 2021 года</w:t>
      </w:r>
      <w:r>
        <w:rPr>
          <w:color w:val="090909"/>
          <w:sz w:val="28"/>
          <w:szCs w:val="28"/>
        </w:rPr>
        <w:t xml:space="preserve"> в программы были внесены изменения: </w:t>
      </w:r>
    </w:p>
    <w:p>
      <w:pPr>
        <w:pStyle w:val="Normal"/>
        <w:ind w:firstLine="709"/>
        <w:jc w:val="both"/>
        <w:rPr/>
      </w:pPr>
      <w:r>
        <w:rPr>
          <w:color w:val="090909"/>
          <w:sz w:val="28"/>
          <w:szCs w:val="28"/>
          <w:lang w:val="ru-RU"/>
        </w:rPr>
        <w:t xml:space="preserve">1. На основании пп. 1 п. 32 </w:t>
      </w:r>
      <w:r>
        <w:rPr>
          <w:color w:val="050404"/>
          <w:sz w:val="28"/>
          <w:szCs w:val="28"/>
          <w:lang w:val="ru-RU"/>
        </w:rPr>
        <w:t xml:space="preserve">Порядка разработки, реализации и оценки эффективности муниципальных программ Петровского городского округа Ставропольского края, утвержденного постановлением администрации Петровского городского округа Ставропольского края от 11 апреля 2018 года № 528 </w:t>
      </w:r>
      <w:r>
        <w:rPr>
          <w:rFonts w:eastAsia="Times New Roman" w:cs="Times New Roman"/>
          <w:color w:val="050404"/>
          <w:sz w:val="28"/>
          <w:szCs w:val="28"/>
          <w:lang w:val="ru-RU" w:eastAsia="ru-RU"/>
        </w:rPr>
        <w:t xml:space="preserve">(в ред. от 30 августа 2018 года № 1547, от 11 января 2019 года № 9, от 8 августа 2019 года № 1645, </w:t>
      </w:r>
      <w:r>
        <w:rPr>
          <w:rFonts w:eastAsia="Calibri" w:cs="Times New Roman"/>
          <w:color w:val="050404"/>
          <w:sz w:val="28"/>
          <w:szCs w:val="28"/>
          <w:lang w:val="ru-RU" w:eastAsia="en-US"/>
        </w:rPr>
        <w:t xml:space="preserve">от 06 июля 2020 г. № 867, </w:t>
      </w:r>
      <w:r>
        <w:rPr>
          <w:rFonts w:eastAsia="Calibri" w:cs="Times New Roman"/>
          <w:b w:val="false"/>
          <w:i w:val="false"/>
          <w:caps w:val="false"/>
          <w:smallCaps w:val="false"/>
          <w:color w:val="050404"/>
          <w:spacing w:val="0"/>
          <w:sz w:val="28"/>
          <w:szCs w:val="28"/>
          <w:lang w:val="ru-RU" w:eastAsia="en-US"/>
        </w:rPr>
        <w:t>от 22 сентября 2021 г. № 1529</w:t>
      </w:r>
      <w:r>
        <w:rPr>
          <w:rFonts w:eastAsia="Times New Roman" w:cs="Times New Roman"/>
          <w:color w:val="050404"/>
          <w:sz w:val="28"/>
          <w:szCs w:val="28"/>
          <w:lang w:val="ru-RU" w:eastAsia="ru-RU"/>
        </w:rPr>
        <w:t xml:space="preserve">) (далее - Порядок) все программы </w:t>
      </w:r>
      <w:r>
        <w:rPr>
          <w:color w:val="090909"/>
          <w:sz w:val="28"/>
          <w:szCs w:val="28"/>
        </w:rPr>
        <w:t>приведены в</w:t>
      </w:r>
      <w:r>
        <w:rPr>
          <w:rFonts w:eastAsia="Calibri"/>
          <w:color w:val="090909"/>
          <w:sz w:val="28"/>
          <w:szCs w:val="28"/>
          <w:lang w:eastAsia="en-US"/>
        </w:rPr>
        <w:t xml:space="preserve"> соответствии с </w:t>
      </w:r>
      <w:r>
        <w:rPr>
          <w:color w:val="090909"/>
          <w:sz w:val="28"/>
          <w:szCs w:val="28"/>
        </w:rPr>
        <w:t xml:space="preserve">решением Совета депутатов Петровского городского округа Ставропольского края от </w:t>
      </w:r>
      <w:r>
        <w:rPr>
          <w:rFonts w:eastAsia="Times New Roman" w:cs="Times New Roman"/>
          <w:color w:val="090909"/>
          <w:sz w:val="28"/>
          <w:szCs w:val="28"/>
          <w:lang w:val="ru-RU" w:eastAsia="ru-RU"/>
        </w:rPr>
        <w:t xml:space="preserve">10 декабря 2020 года № 104 «О </w:t>
      </w:r>
      <w:r>
        <w:rPr>
          <w:rFonts w:eastAsia="Times New Roman" w:cs="Times New Roman"/>
          <w:color w:val="090909"/>
          <w:sz w:val="28"/>
          <w:szCs w:val="28"/>
          <w:lang w:eastAsia="ru-RU"/>
        </w:rPr>
        <w:t xml:space="preserve">бюджете Петровского городского округа Ставропольского края на </w:t>
      </w:r>
      <w:r>
        <w:rPr>
          <w:rFonts w:eastAsia="Times New Roman" w:cs="Times New Roman"/>
          <w:color w:val="090909"/>
          <w:sz w:val="28"/>
          <w:szCs w:val="28"/>
          <w:lang w:val="ru-RU" w:eastAsia="ru-RU"/>
        </w:rPr>
        <w:t>2021 год и плановый период 2022 и 2023 годов»</w:t>
      </w:r>
      <w:r>
        <w:rPr>
          <w:rFonts w:eastAsia="Calibri"/>
          <w:color w:val="090909"/>
          <w:sz w:val="28"/>
          <w:szCs w:val="28"/>
          <w:lang w:eastAsia="en-US"/>
        </w:rPr>
        <w:t xml:space="preserve"> в установленный срок.</w:t>
      </w:r>
    </w:p>
    <w:p>
      <w:pPr>
        <w:pStyle w:val="Normal"/>
        <w:spacing w:lineRule="auto" w:line="240" w:before="0" w:after="0"/>
        <w:ind w:left="0" w:right="0" w:firstLine="709"/>
        <w:jc w:val="both"/>
        <w:rPr/>
      </w:pPr>
      <w:r>
        <w:rPr>
          <w:rFonts w:eastAsia="Cambria" w:cs="Times New Roman"/>
          <w:bCs/>
          <w:color w:val="060606"/>
          <w:sz w:val="28"/>
          <w:szCs w:val="28"/>
          <w:lang w:val="ru-RU" w:eastAsia="ar-SA"/>
        </w:rPr>
        <w:t xml:space="preserve">2. </w:t>
      </w:r>
      <w:r>
        <w:rPr>
          <w:rFonts w:eastAsia="Cambria" w:cs="Times New Roman"/>
          <w:bCs/>
          <w:color w:val="090909"/>
          <w:sz w:val="28"/>
          <w:szCs w:val="28"/>
          <w:lang w:val="ru-RU" w:eastAsia="ar-SA"/>
        </w:rPr>
        <w:t>На основании пп. 2 п. 32 Порядка, в целях реализации</w:t>
      </w:r>
      <w:r>
        <w:rPr>
          <w:rFonts w:eastAsia="Cambria" w:cs="Times New Roman"/>
          <w:bCs/>
          <w:color w:val="060606"/>
          <w:sz w:val="28"/>
          <w:szCs w:val="28"/>
          <w:lang w:eastAsia="ar-SA"/>
        </w:rPr>
        <w:t xml:space="preserve"> постановления администрации от 27 апреля 2021 г. № 683 «Об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2020 год» были</w:t>
      </w:r>
      <w:r>
        <w:rPr>
          <w:rFonts w:eastAsia="Times New Roman" w:cs="Times New Roman"/>
          <w:bCs/>
          <w:color w:val="060606"/>
          <w:sz w:val="28"/>
          <w:szCs w:val="28"/>
          <w:lang w:eastAsia="ar-SA"/>
        </w:rPr>
        <w:t xml:space="preserve"> внесены</w:t>
      </w:r>
      <w:r>
        <w:rPr>
          <w:rFonts w:eastAsia="Cambria" w:cs="Times New Roman"/>
          <w:bCs/>
          <w:color w:val="060606"/>
          <w:sz w:val="28"/>
          <w:szCs w:val="28"/>
          <w:lang w:eastAsia="ar-SA"/>
        </w:rPr>
        <w:t xml:space="preserve"> изменения во все программы за исключением программ «Развитие образования» и «Управление финансами», в которые не требовалось внесение изменений.</w:t>
      </w:r>
    </w:p>
    <w:p>
      <w:pPr>
        <w:pStyle w:val="Normal"/>
        <w:spacing w:before="0" w:after="0"/>
        <w:ind w:left="0" w:right="0" w:firstLine="709"/>
        <w:jc w:val="both"/>
        <w:rPr/>
      </w:pPr>
      <w:r>
        <w:rPr>
          <w:color w:val="000000"/>
          <w:sz w:val="28"/>
          <w:szCs w:val="28"/>
        </w:rPr>
        <w:t>В отчетном периоде общий объем финансирования, запланированный программами на  202</w:t>
      </w:r>
      <w:r>
        <w:rPr>
          <w:color w:val="000000"/>
          <w:sz w:val="28"/>
          <w:szCs w:val="28"/>
          <w:lang w:val="ru-RU"/>
        </w:rPr>
        <w:t>1</w:t>
      </w:r>
      <w:r>
        <w:rPr>
          <w:color w:val="000000"/>
          <w:sz w:val="28"/>
          <w:szCs w:val="28"/>
        </w:rPr>
        <w:t xml:space="preserve"> год, составляет </w:t>
      </w:r>
      <w:r>
        <w:rPr>
          <w:color w:val="000000"/>
          <w:sz w:val="28"/>
          <w:szCs w:val="28"/>
          <w:lang w:val="ru-RU"/>
        </w:rPr>
        <w:t>2 335 557,81</w:t>
      </w:r>
      <w:r>
        <w:rPr>
          <w:color w:val="000000"/>
          <w:sz w:val="28"/>
          <w:szCs w:val="28"/>
        </w:rPr>
        <w:t xml:space="preserve"> тыс. рублей, в том числе бюджетные средства составляют </w:t>
      </w:r>
      <w:r>
        <w:rPr>
          <w:color w:val="000000"/>
          <w:sz w:val="28"/>
          <w:szCs w:val="28"/>
          <w:lang w:val="ru-RU"/>
        </w:rPr>
        <w:t>2 315 367,57</w:t>
      </w:r>
      <w:r>
        <w:rPr>
          <w:color w:val="000000"/>
          <w:sz w:val="28"/>
          <w:szCs w:val="28"/>
        </w:rPr>
        <w:t xml:space="preserve"> тыс. рублей - это на </w:t>
      </w:r>
      <w:r>
        <w:rPr>
          <w:color w:val="000000"/>
          <w:sz w:val="28"/>
          <w:szCs w:val="28"/>
          <w:lang w:val="ru-RU"/>
        </w:rPr>
        <w:t>13,06% выше показателя 2020 года за аналогичный период (далее - уровень          2020 года)</w:t>
      </w:r>
      <w:r>
        <w:rPr>
          <w:color w:val="000000"/>
          <w:sz w:val="28"/>
          <w:szCs w:val="28"/>
        </w:rPr>
        <w:t xml:space="preserve">. С учетом изменений сводной бюджетной росписи расходов бюджета Петровского городского округа Ставропольского края </w:t>
      </w:r>
      <w:r>
        <w:rPr>
          <w:color w:val="000000"/>
          <w:sz w:val="28"/>
          <w:szCs w:val="28"/>
          <w:lang w:val="ru-RU"/>
        </w:rPr>
        <w:t>(далее - бюджет округа)</w:t>
      </w:r>
      <w:r>
        <w:rPr>
          <w:color w:val="000000"/>
          <w:sz w:val="28"/>
          <w:szCs w:val="28"/>
        </w:rPr>
        <w:t xml:space="preserve"> по состоянию на 3</w:t>
      </w:r>
      <w:r>
        <w:rPr>
          <w:color w:val="000000"/>
          <w:sz w:val="28"/>
          <w:szCs w:val="28"/>
          <w:lang w:val="ru-RU"/>
        </w:rPr>
        <w:t>0</w:t>
      </w:r>
      <w:r>
        <w:rPr>
          <w:color w:val="000000"/>
          <w:sz w:val="28"/>
          <w:szCs w:val="28"/>
        </w:rPr>
        <w:t xml:space="preserve"> сентября 202</w:t>
      </w:r>
      <w:r>
        <w:rPr>
          <w:color w:val="000000"/>
          <w:sz w:val="28"/>
          <w:szCs w:val="28"/>
          <w:lang w:val="ru-RU"/>
        </w:rPr>
        <w:t>1</w:t>
      </w:r>
      <w:r>
        <w:rPr>
          <w:color w:val="000000"/>
          <w:sz w:val="28"/>
          <w:szCs w:val="28"/>
        </w:rPr>
        <w:t xml:space="preserve"> года плановый объем расходов бюджетных средств по программам на 202</w:t>
      </w:r>
      <w:r>
        <w:rPr>
          <w:color w:val="000000"/>
          <w:sz w:val="28"/>
          <w:szCs w:val="28"/>
          <w:lang w:val="ru-RU"/>
        </w:rPr>
        <w:t>1</w:t>
      </w:r>
      <w:r>
        <w:rPr>
          <w:color w:val="000000"/>
          <w:sz w:val="28"/>
          <w:szCs w:val="28"/>
        </w:rPr>
        <w:t xml:space="preserve"> год увеличился до        2 </w:t>
      </w:r>
      <w:r>
        <w:rPr>
          <w:color w:val="000000"/>
          <w:sz w:val="28"/>
          <w:szCs w:val="28"/>
          <w:lang w:val="ru-RU"/>
        </w:rPr>
        <w:t>576 297,79</w:t>
      </w:r>
      <w:r>
        <w:rPr>
          <w:color w:val="000000"/>
          <w:sz w:val="28"/>
          <w:szCs w:val="28"/>
        </w:rPr>
        <w:t xml:space="preserve"> тыс. рублей, что на </w:t>
      </w:r>
      <w:r>
        <w:rPr>
          <w:color w:val="000000"/>
          <w:sz w:val="28"/>
          <w:szCs w:val="28"/>
          <w:lang w:val="ru-RU"/>
        </w:rPr>
        <w:t>9,24%</w:t>
      </w:r>
      <w:r>
        <w:rPr>
          <w:color w:val="000000"/>
          <w:sz w:val="28"/>
          <w:szCs w:val="28"/>
        </w:rPr>
        <w:t xml:space="preserve"> выше уровня 20</w:t>
      </w:r>
      <w:r>
        <w:rPr>
          <w:color w:val="000000"/>
          <w:sz w:val="28"/>
          <w:szCs w:val="28"/>
          <w:lang w:val="ru-RU"/>
        </w:rPr>
        <w:t>20</w:t>
      </w:r>
      <w:r>
        <w:rPr>
          <w:color w:val="000000"/>
          <w:sz w:val="28"/>
          <w:szCs w:val="28"/>
        </w:rPr>
        <w:t xml:space="preserve"> года. </w:t>
      </w:r>
    </w:p>
    <w:p>
      <w:pPr>
        <w:pStyle w:val="Normal"/>
        <w:spacing w:before="0" w:after="0"/>
        <w:ind w:left="0" w:right="0" w:firstLine="709"/>
        <w:jc w:val="both"/>
        <w:rPr/>
      </w:pPr>
      <w:r>
        <w:rPr>
          <w:rFonts w:cs="Times New Roman"/>
          <w:color w:val="000000"/>
          <w:sz w:val="28"/>
          <w:szCs w:val="28"/>
          <w:lang w:val="ru-RU"/>
        </w:rPr>
        <w:t>Кассовое исполнение составило 1 743 117,06 тыс. рублей или 67,66% к уточненной бюджетной росписи расходов бюджета округа.</w:t>
      </w:r>
    </w:p>
    <w:p>
      <w:pPr>
        <w:pStyle w:val="Normal"/>
        <w:spacing w:before="0" w:after="0"/>
        <w:ind w:left="0" w:right="0" w:firstLine="709"/>
        <w:jc w:val="both"/>
        <w:rPr/>
      </w:pPr>
      <w:r>
        <w:rPr>
          <w:rFonts w:cs="Times New Roman"/>
          <w:color w:val="000000"/>
          <w:sz w:val="28"/>
          <w:szCs w:val="28"/>
          <w:lang w:val="ru-RU"/>
        </w:rPr>
        <w:t>Значительно улучшено кассовое исполнение по программе «Развитие градостроительства, строительства и архитектуры» - 53,52%,  в аналогичном периоде 2020 года расходы не производились.</w:t>
      </w:r>
    </w:p>
    <w:p>
      <w:pPr>
        <w:pStyle w:val="Normal"/>
        <w:spacing w:before="0" w:after="0"/>
        <w:ind w:left="0" w:right="0" w:firstLine="709"/>
        <w:jc w:val="both"/>
        <w:rPr/>
      </w:pPr>
      <w:r>
        <w:rPr>
          <w:rFonts w:cs="Times New Roman"/>
          <w:color w:val="000000"/>
          <w:sz w:val="28"/>
          <w:szCs w:val="28"/>
          <w:lang w:val="ru-RU"/>
        </w:rPr>
        <w:t xml:space="preserve">Практически </w:t>
      </w:r>
      <w:r>
        <w:rPr>
          <w:rFonts w:cs="Times New Roman"/>
          <w:color w:val="000000"/>
          <w:sz w:val="28"/>
          <w:szCs w:val="28"/>
          <w:lang w:val="ru-RU"/>
        </w:rPr>
        <w:t xml:space="preserve">на уровне </w:t>
      </w:r>
      <w:r>
        <w:rPr>
          <w:rFonts w:cs="Times New Roman"/>
          <w:color w:val="000000"/>
          <w:sz w:val="28"/>
          <w:szCs w:val="28"/>
          <w:lang w:val="ru-RU"/>
        </w:rPr>
        <w:t>2020 года</w:t>
      </w:r>
      <w:r>
        <w:rPr>
          <w:rFonts w:cs="Times New Roman"/>
          <w:color w:val="000000"/>
          <w:sz w:val="28"/>
          <w:szCs w:val="28"/>
          <w:lang w:val="ru-RU"/>
        </w:rPr>
        <w:t xml:space="preserve"> остается уровень кассового исполнения по программам:</w:t>
      </w:r>
    </w:p>
    <w:p>
      <w:pPr>
        <w:pStyle w:val="Normal"/>
        <w:spacing w:before="0" w:after="0"/>
        <w:ind w:left="0" w:right="0" w:firstLine="709"/>
        <w:jc w:val="both"/>
        <w:rPr/>
      </w:pPr>
      <w:r>
        <w:rPr>
          <w:rFonts w:cs="Times New Roman"/>
          <w:color w:val="000000"/>
          <w:sz w:val="28"/>
          <w:szCs w:val="28"/>
          <w:lang w:val="ru-RU"/>
        </w:rPr>
        <w:t>«Развитие образования» - 65,12% (уровень 2020 г. - 64,96%);</w:t>
      </w:r>
    </w:p>
    <w:p>
      <w:pPr>
        <w:pStyle w:val="Normal"/>
        <w:spacing w:before="0" w:after="0"/>
        <w:ind w:left="0" w:right="0" w:firstLine="709"/>
        <w:jc w:val="both"/>
        <w:rPr/>
      </w:pPr>
      <w:r>
        <w:rPr>
          <w:rFonts w:cs="Times New Roman"/>
          <w:color w:val="000000"/>
          <w:sz w:val="28"/>
          <w:szCs w:val="28"/>
          <w:lang w:val="ru-RU"/>
        </w:rPr>
        <w:t>«Социальная поддержка граждан» - 77,50% (уровень 2020 г. - 76,92%);</w:t>
      </w:r>
    </w:p>
    <w:p>
      <w:pPr>
        <w:pStyle w:val="Normal"/>
        <w:spacing w:before="0" w:after="0"/>
        <w:ind w:left="0" w:right="0" w:firstLine="709"/>
        <w:jc w:val="both"/>
        <w:rPr/>
      </w:pPr>
      <w:r>
        <w:rPr>
          <w:rFonts w:cs="Times New Roman"/>
          <w:color w:val="000000"/>
          <w:sz w:val="28"/>
          <w:szCs w:val="28"/>
          <w:lang w:val="ru-RU"/>
        </w:rPr>
        <w:t>«Развитие жилищно-коммунального хозяйства» - 67,98% (уровень 2020 г.- 62,39%);</w:t>
      </w:r>
    </w:p>
    <w:p>
      <w:pPr>
        <w:pStyle w:val="Normal"/>
        <w:spacing w:before="0" w:after="0"/>
        <w:ind w:left="0" w:right="0" w:firstLine="709"/>
        <w:jc w:val="both"/>
        <w:rPr/>
      </w:pPr>
      <w:r>
        <w:rPr>
          <w:rFonts w:cs="Times New Roman"/>
          <w:color w:val="000000"/>
          <w:sz w:val="28"/>
          <w:szCs w:val="28"/>
          <w:lang w:val="ru-RU"/>
        </w:rPr>
        <w:t>Культура Петровского городского округа Ставропольского края» - 72,40% (уровень 2020 г. - 70,06%);</w:t>
      </w:r>
    </w:p>
    <w:p>
      <w:pPr>
        <w:pStyle w:val="Normal"/>
        <w:spacing w:before="0" w:after="0"/>
        <w:ind w:left="0" w:right="0" w:firstLine="709"/>
        <w:jc w:val="both"/>
        <w:rPr/>
      </w:pPr>
      <w:r>
        <w:rPr>
          <w:rFonts w:cs="Times New Roman"/>
          <w:color w:val="000000"/>
          <w:sz w:val="28"/>
          <w:szCs w:val="28"/>
          <w:lang w:val="ru-RU"/>
        </w:rPr>
        <w:t>«Управление финансами» - 55,03% (уровень 2020 г. - 51,94%);</w:t>
      </w:r>
    </w:p>
    <w:p>
      <w:pPr>
        <w:pStyle w:val="Normal"/>
        <w:spacing w:before="0" w:after="0"/>
        <w:ind w:left="0" w:right="0" w:firstLine="709"/>
        <w:jc w:val="both"/>
        <w:rPr/>
      </w:pPr>
      <w:r>
        <w:rPr>
          <w:rFonts w:cs="Times New Roman"/>
          <w:color w:val="000000"/>
          <w:sz w:val="28"/>
          <w:szCs w:val="28"/>
          <w:lang w:val="ru-RU"/>
        </w:rPr>
        <w:t>«Управление имуществом» - 70,23% (уровень 2020 г. - 70,04%);</w:t>
      </w:r>
    </w:p>
    <w:p>
      <w:pPr>
        <w:pStyle w:val="Normal"/>
        <w:spacing w:before="0" w:after="0"/>
        <w:ind w:left="0" w:right="0" w:firstLine="709"/>
        <w:jc w:val="both"/>
        <w:rPr/>
      </w:pPr>
      <w:r>
        <w:rPr>
          <w:rFonts w:cs="Times New Roman"/>
          <w:color w:val="000000"/>
          <w:sz w:val="28"/>
          <w:szCs w:val="28"/>
          <w:lang w:val="ru-RU"/>
        </w:rPr>
        <w:t xml:space="preserve">«Модернизация экономики и улучшение инвестиционного климата» - 28,69% (уровень 2020 г. - 28,57%). </w:t>
      </w:r>
    </w:p>
    <w:p>
      <w:pPr>
        <w:pStyle w:val="Normal"/>
        <w:spacing w:before="0" w:after="0"/>
        <w:ind w:left="0" w:right="0" w:firstLine="709"/>
        <w:jc w:val="both"/>
        <w:rPr/>
      </w:pPr>
      <w:r>
        <w:rPr>
          <w:rFonts w:cs="Times New Roman"/>
          <w:i w:val="false"/>
          <w:iCs w:val="false"/>
          <w:color w:val="000000"/>
          <w:sz w:val="28"/>
          <w:szCs w:val="28"/>
          <w:lang w:val="ru-RU"/>
        </w:rPr>
        <w:t>Незначительное снижение кассового исполнения отмечается по следующим программам:</w:t>
      </w:r>
    </w:p>
    <w:p>
      <w:pPr>
        <w:pStyle w:val="Normal"/>
        <w:spacing w:before="0" w:after="0"/>
        <w:ind w:left="0" w:right="0" w:firstLine="709"/>
        <w:jc w:val="both"/>
        <w:rPr/>
      </w:pPr>
      <w:r>
        <w:rPr>
          <w:rFonts w:cs="Times New Roman"/>
          <w:i w:val="false"/>
          <w:iCs w:val="false"/>
          <w:color w:val="000000"/>
          <w:sz w:val="28"/>
          <w:szCs w:val="28"/>
          <w:lang w:val="ru-RU"/>
        </w:rPr>
        <w:t>«Социальное развитие» - 63,81% (уровень 2020 г. - 67,23%);</w:t>
      </w:r>
    </w:p>
    <w:p>
      <w:pPr>
        <w:pStyle w:val="Normal"/>
        <w:spacing w:before="0" w:after="0"/>
        <w:ind w:firstLine="709"/>
        <w:jc w:val="both"/>
        <w:rPr/>
      </w:pPr>
      <w:r>
        <w:rPr>
          <w:color w:val="000000"/>
          <w:sz w:val="28"/>
          <w:szCs w:val="28"/>
          <w:lang w:val="ru-RU"/>
        </w:rPr>
        <w:t>«Межнациональные отношения, профилактика правонарушений, терроризма и поддержка казачества» - 76,83% (уровень 2020 г. - 78,75%);</w:t>
      </w:r>
    </w:p>
    <w:p>
      <w:pPr>
        <w:pStyle w:val="Normal"/>
        <w:spacing w:before="0" w:after="0"/>
        <w:ind w:left="0" w:right="0" w:firstLine="709"/>
        <w:jc w:val="both"/>
        <w:rPr/>
      </w:pPr>
      <w:r>
        <w:rPr>
          <w:rFonts w:cs="Times New Roman"/>
          <w:i w:val="false"/>
          <w:iCs w:val="false"/>
          <w:color w:val="000000"/>
          <w:sz w:val="28"/>
          <w:szCs w:val="28"/>
          <w:lang w:val="ru-RU"/>
        </w:rPr>
        <w:t>«Совершенствование организации деятельности органов местного самоуправления» - 62,39% (уровень 2020 г. - 64,67%).</w:t>
      </w:r>
    </w:p>
    <w:p>
      <w:pPr>
        <w:pStyle w:val="Normal"/>
        <w:spacing w:before="0" w:after="0"/>
        <w:ind w:left="0" w:right="0" w:firstLine="709"/>
        <w:jc w:val="both"/>
        <w:rPr/>
      </w:pPr>
      <w:r>
        <w:rPr>
          <w:rFonts w:cs="Times New Roman"/>
          <w:i w:val="false"/>
          <w:iCs w:val="false"/>
          <w:color w:val="000000"/>
          <w:sz w:val="28"/>
          <w:szCs w:val="28"/>
          <w:lang w:val="ru-RU"/>
        </w:rPr>
        <w:t>По муниципальным программам «Формирование современной городской среды», «Развитие транспортной системы» и «Развитие сельского хозяйства» отмечается одновременное снижение плановых объемов финансирования и объемов кассового исполнения.</w:t>
      </w:r>
    </w:p>
    <w:p>
      <w:pPr>
        <w:pStyle w:val="Normal"/>
        <w:spacing w:before="0" w:after="0"/>
        <w:ind w:left="0" w:right="0" w:firstLine="709"/>
        <w:jc w:val="both"/>
        <w:rPr/>
      </w:pPr>
      <w:r>
        <w:rPr>
          <w:rFonts w:cs="Times New Roman"/>
          <w:color w:val="000000"/>
          <w:sz w:val="28"/>
          <w:szCs w:val="28"/>
          <w:lang w:val="ru-RU"/>
        </w:rPr>
        <w:t>По программе «Формирование современной городской среды» кассовое исполнение составило 71,84% (уровень 2020 г. - 97,88%). Причинами ухудшения кассового исполнения явилось недобросовестное исполнение подрядными организациями ООО «Арт-Строй» и ООО «СМУ-7» муниципальных контрактов № 0121600005621000050 от 13 апреля 2021 года на благоустройство пешеходной зоны по улице Тургенева города Светлограда и № 0121600005620000093 от 10 июля 2020 года на благоустройство пешеходной зоны по улице Ленина города Светлограда, в связи с чем сроки исполнения контрольных событий основного мероприятия «Реализация регионального проекта «Формирование комфортной городской среды» перенесены на конец 2021 года.</w:t>
      </w:r>
    </w:p>
    <w:p>
      <w:pPr>
        <w:pStyle w:val="Normal"/>
        <w:spacing w:before="0" w:after="0"/>
        <w:ind w:left="0" w:right="0" w:firstLine="709"/>
        <w:jc w:val="both"/>
        <w:rPr/>
      </w:pPr>
      <w:r>
        <w:rPr>
          <w:rFonts w:cs="Times New Roman"/>
          <w:color w:val="000000"/>
          <w:sz w:val="28"/>
          <w:szCs w:val="28"/>
          <w:lang w:val="ru-RU"/>
        </w:rPr>
        <w:t>По программе «Развитие транспортной системы» кассовое исполнение составило 50,71% (уровень 2020 г. - 69,16%). В отчетном периоде не произведены кассовые расходы по основному мероприятию «Реализация уличных и квартальных инициатив». По данному мероприятию с ООО «ДПМК» заключен муниципальный контракт № 0121600005621000103 от   19 июля 2021 года. По состоянию на 30 сентября 2021 года работы не завершены, оплата не производилась.</w:t>
      </w:r>
      <w:r>
        <w:rPr>
          <w:rFonts w:cs="Times New Roman"/>
          <w:color w:val="C9211E"/>
          <w:sz w:val="28"/>
          <w:szCs w:val="28"/>
          <w:lang w:val="ru-RU"/>
        </w:rPr>
        <w:t xml:space="preserve"> </w:t>
      </w:r>
    </w:p>
    <w:p>
      <w:pPr>
        <w:pStyle w:val="Normal"/>
        <w:spacing w:before="0" w:after="0"/>
        <w:ind w:left="0" w:right="0" w:firstLine="709"/>
        <w:jc w:val="both"/>
        <w:rPr/>
      </w:pPr>
      <w:r>
        <w:rPr>
          <w:rFonts w:cs="Times New Roman"/>
          <w:color w:val="000000"/>
          <w:sz w:val="28"/>
          <w:szCs w:val="28"/>
          <w:lang w:val="ru-RU"/>
        </w:rPr>
        <w:t>В связи с отказом подрядной организации ПСК «Георгиевскдорстрой» выполнять работы  в полном</w:t>
      </w:r>
      <w:r>
        <w:rPr>
          <w:rFonts w:cs="Times New Roman"/>
          <w:color w:val="C9211E"/>
          <w:sz w:val="28"/>
          <w:szCs w:val="28"/>
          <w:lang w:val="ru-RU"/>
        </w:rPr>
        <w:t xml:space="preserve"> </w:t>
      </w:r>
      <w:r>
        <w:rPr>
          <w:rFonts w:cs="Times New Roman"/>
          <w:color w:val="000000"/>
          <w:sz w:val="28"/>
          <w:szCs w:val="28"/>
          <w:lang w:val="ru-RU"/>
        </w:rPr>
        <w:t>объеме и обращением в Арбитражный суд Ставропольского края с исковым заявлением о расторжении муниципального контракта № 0121600005621000019 от 09 марта 2021 года,</w:t>
      </w:r>
      <w:r>
        <w:rPr>
          <w:rFonts w:cs="Times New Roman"/>
          <w:color w:val="C9211E"/>
          <w:sz w:val="28"/>
          <w:szCs w:val="28"/>
          <w:lang w:val="ru-RU"/>
        </w:rPr>
        <w:t xml:space="preserve"> </w:t>
      </w:r>
      <w:r>
        <w:rPr>
          <w:rFonts w:cs="Times New Roman"/>
          <w:color w:val="000000"/>
          <w:sz w:val="28"/>
          <w:szCs w:val="28"/>
          <w:lang w:val="ru-RU"/>
        </w:rPr>
        <w:t>кассовое исполнение по основному мероприятию «Содержание, капитальный ремонт и ремонт улично-дорожной сети» за 9 месяцев 2021 года составляет 50,47%, большая часть субсидии, имеющей целевое назначение за счет средств краевого бюджета, предоставляемых бюджету округа на условиях софинансирования, осталась не освоена. Из выделенных краевых средств  освоено 28 954,74 тыс. рублей, что составляет 24,44% от плановых назначений.</w:t>
      </w:r>
    </w:p>
    <w:p>
      <w:pPr>
        <w:pStyle w:val="Normal"/>
        <w:spacing w:before="0" w:after="0"/>
        <w:ind w:left="0" w:right="0" w:firstLine="709"/>
        <w:jc w:val="both"/>
        <w:rPr/>
      </w:pPr>
      <w:r>
        <w:rPr>
          <w:rFonts w:cs="Times New Roman"/>
          <w:color w:val="000000"/>
          <w:sz w:val="28"/>
          <w:szCs w:val="28"/>
          <w:lang w:val="ru-RU"/>
        </w:rPr>
        <w:t xml:space="preserve">По программе «Развитие сельского хозяйства» кассовое исполнение составило 63,28% (уровень 2020 г. - 82,61%), это обусловлено тем, что освоение денежных средств, предусмотренных на награждение победителей </w:t>
      </w:r>
      <w:r>
        <w:rPr>
          <w:rFonts w:cs="Times New Roman"/>
          <w:i w:val="false"/>
          <w:iCs w:val="false"/>
          <w:color w:val="000000"/>
          <w:sz w:val="28"/>
          <w:szCs w:val="28"/>
          <w:lang w:val="ru-RU"/>
        </w:rPr>
        <w:t>соревнования по организованному проведению уборки зерновых культур, в рамках основного мероприятия «Развитие растениеводства», запланировано на IV квартал 2021 года</w:t>
      </w:r>
      <w:r>
        <w:rPr>
          <w:rFonts w:cs="Times New Roman"/>
          <w:color w:val="000000"/>
          <w:sz w:val="28"/>
          <w:szCs w:val="28"/>
          <w:lang w:val="ru-RU"/>
        </w:rPr>
        <w:t xml:space="preserve"> (их доля составляет 52,49% от всех плановых назначений по подпрограмме «Обеспечение устойчивого развития сельскохозяйственного производства»)</w:t>
      </w:r>
      <w:r>
        <w:rPr>
          <w:rFonts w:cs="Times New Roman"/>
          <w:i w:val="false"/>
          <w:iCs w:val="false"/>
          <w:color w:val="000000"/>
          <w:sz w:val="28"/>
          <w:szCs w:val="28"/>
          <w:lang w:val="ru-RU"/>
        </w:rPr>
        <w:t>.</w:t>
      </w:r>
    </w:p>
    <w:p>
      <w:pPr>
        <w:pStyle w:val="Normal"/>
        <w:ind w:firstLine="709"/>
        <w:jc w:val="both"/>
        <w:rPr/>
      </w:pPr>
      <w:r>
        <w:rPr>
          <w:color w:val="000000"/>
          <w:sz w:val="28"/>
          <w:szCs w:val="28"/>
        </w:rPr>
        <w:t xml:space="preserve">Информация о степени освоения средств в ходе реализации программ за </w:t>
      </w:r>
      <w:r>
        <w:rPr>
          <w:color w:val="000000"/>
          <w:sz w:val="28"/>
          <w:szCs w:val="28"/>
          <w:lang w:val="ru-RU"/>
        </w:rPr>
        <w:t>9 месяцев</w:t>
      </w:r>
      <w:r>
        <w:rPr>
          <w:color w:val="000000"/>
          <w:sz w:val="28"/>
          <w:szCs w:val="28"/>
        </w:rPr>
        <w:t xml:space="preserve"> 202</w:t>
      </w:r>
      <w:r>
        <w:rPr>
          <w:color w:val="000000"/>
          <w:sz w:val="28"/>
          <w:szCs w:val="28"/>
          <w:lang w:val="ru-RU"/>
        </w:rPr>
        <w:t>1</w:t>
      </w:r>
      <w:r>
        <w:rPr>
          <w:color w:val="000000"/>
          <w:sz w:val="28"/>
          <w:szCs w:val="28"/>
        </w:rPr>
        <w:t xml:space="preserve"> года приведена в Приложении 1.</w:t>
      </w:r>
    </w:p>
    <w:p>
      <w:pPr>
        <w:pStyle w:val="Normal"/>
        <w:ind w:firstLine="709"/>
        <w:jc w:val="both"/>
        <w:rPr>
          <w:color w:val="000000"/>
          <w:sz w:val="28"/>
          <w:szCs w:val="28"/>
        </w:rPr>
      </w:pPr>
      <w:r>
        <w:rPr>
          <w:color w:val="000000"/>
          <w:sz w:val="28"/>
          <w:szCs w:val="28"/>
        </w:rPr>
      </w:r>
    </w:p>
    <w:p>
      <w:pPr>
        <w:pStyle w:val="Normal"/>
        <w:ind w:firstLine="709"/>
        <w:jc w:val="both"/>
        <w:rPr/>
      </w:pPr>
      <w:r>
        <w:rPr>
          <w:color w:val="000000"/>
          <w:sz w:val="28"/>
          <w:szCs w:val="28"/>
        </w:rPr>
        <w:t xml:space="preserve">Реализация программ осуществляется в соответствии с детальными планами-графиками. В соответствии с утвержденными детальными планами - графиками реализации программ была предусмотрена реализация </w:t>
      </w:r>
      <w:r>
        <w:rPr>
          <w:color w:val="000000"/>
          <w:sz w:val="28"/>
          <w:szCs w:val="28"/>
          <w:lang w:val="ru-RU"/>
        </w:rPr>
        <w:t>546</w:t>
      </w:r>
      <w:r>
        <w:rPr>
          <w:color w:val="000000"/>
          <w:sz w:val="28"/>
          <w:szCs w:val="28"/>
        </w:rPr>
        <w:t xml:space="preserve"> контрольного события, из которых исполнены в установленные сроки </w:t>
      </w:r>
      <w:r>
        <w:rPr>
          <w:color w:val="000000"/>
          <w:sz w:val="28"/>
          <w:szCs w:val="28"/>
          <w:lang w:val="ru-RU"/>
        </w:rPr>
        <w:t>478</w:t>
      </w:r>
      <w:r>
        <w:rPr>
          <w:color w:val="000000"/>
          <w:sz w:val="28"/>
          <w:szCs w:val="28"/>
        </w:rPr>
        <w:t xml:space="preserve"> контрольных событий или </w:t>
      </w:r>
      <w:r>
        <w:rPr>
          <w:color w:val="000000"/>
          <w:sz w:val="28"/>
          <w:szCs w:val="28"/>
          <w:lang w:val="ru-RU"/>
        </w:rPr>
        <w:t>87,55% от общего количества контрольных событий</w:t>
      </w:r>
      <w:r>
        <w:rPr>
          <w:color w:val="000000"/>
          <w:sz w:val="28"/>
          <w:szCs w:val="28"/>
        </w:rPr>
        <w:t xml:space="preserve">. Не выполнено - </w:t>
      </w:r>
      <w:r>
        <w:rPr>
          <w:color w:val="000000"/>
          <w:sz w:val="28"/>
          <w:szCs w:val="28"/>
          <w:lang w:val="ru-RU"/>
        </w:rPr>
        <w:t>68</w:t>
      </w:r>
      <w:r>
        <w:rPr>
          <w:color w:val="000000"/>
          <w:sz w:val="28"/>
          <w:szCs w:val="28"/>
        </w:rPr>
        <w:t xml:space="preserve"> контрольных события, из которых по </w:t>
      </w:r>
      <w:r>
        <w:rPr>
          <w:color w:val="000000"/>
          <w:sz w:val="28"/>
          <w:szCs w:val="28"/>
          <w:lang w:val="ru-RU"/>
        </w:rPr>
        <w:t>64</w:t>
      </w:r>
      <w:r>
        <w:rPr>
          <w:color w:val="000000"/>
          <w:sz w:val="28"/>
          <w:szCs w:val="28"/>
        </w:rPr>
        <w:t xml:space="preserve"> контрольным событиям срок реализации не наступил. </w:t>
      </w:r>
    </w:p>
    <w:p>
      <w:pPr>
        <w:pStyle w:val="Normal"/>
        <w:ind w:firstLine="709"/>
        <w:jc w:val="both"/>
        <w:rPr/>
      </w:pPr>
      <w:r>
        <w:rPr>
          <w:rFonts w:eastAsia="Calibri"/>
          <w:i w:val="false"/>
          <w:iCs w:val="false"/>
          <w:color w:val="000000"/>
          <w:sz w:val="28"/>
          <w:szCs w:val="28"/>
          <w:lang w:eastAsia="en-US"/>
        </w:rPr>
        <w:t xml:space="preserve">При проведении мониторинга реализации программам за </w:t>
      </w:r>
      <w:r>
        <w:rPr>
          <w:rFonts w:eastAsia="Calibri"/>
          <w:i w:val="false"/>
          <w:iCs w:val="false"/>
          <w:color w:val="000000"/>
          <w:sz w:val="28"/>
          <w:szCs w:val="28"/>
          <w:lang w:val="ru-RU" w:eastAsia="en-US"/>
        </w:rPr>
        <w:t>9 месяцев</w:t>
      </w:r>
      <w:r>
        <w:rPr>
          <w:rFonts w:eastAsia="Calibri"/>
          <w:i w:val="false"/>
          <w:iCs w:val="false"/>
          <w:color w:val="000000"/>
          <w:sz w:val="28"/>
          <w:szCs w:val="28"/>
          <w:lang w:eastAsia="en-US"/>
        </w:rPr>
        <w:t xml:space="preserve"> 202</w:t>
      </w:r>
      <w:r>
        <w:rPr>
          <w:rFonts w:eastAsia="Calibri"/>
          <w:i w:val="false"/>
          <w:iCs w:val="false"/>
          <w:color w:val="000000"/>
          <w:sz w:val="28"/>
          <w:szCs w:val="28"/>
          <w:lang w:val="ru-RU" w:eastAsia="en-US"/>
        </w:rPr>
        <w:t>1</w:t>
      </w:r>
      <w:r>
        <w:rPr>
          <w:rFonts w:eastAsia="Calibri"/>
          <w:i w:val="false"/>
          <w:iCs w:val="false"/>
          <w:color w:val="000000"/>
          <w:sz w:val="28"/>
          <w:szCs w:val="28"/>
          <w:lang w:eastAsia="en-US"/>
        </w:rPr>
        <w:t xml:space="preserve"> года было установлено, что:</w:t>
      </w:r>
    </w:p>
    <w:p>
      <w:pPr>
        <w:pStyle w:val="Normal"/>
        <w:ind w:firstLine="709"/>
        <w:jc w:val="both"/>
        <w:rPr/>
      </w:pPr>
      <w:r>
        <w:rPr>
          <w:rFonts w:eastAsia="Calibri"/>
          <w:b w:val="false"/>
          <w:bCs w:val="false"/>
          <w:color w:val="000000"/>
          <w:sz w:val="28"/>
          <w:szCs w:val="28"/>
          <w:lang w:val="ru-RU" w:eastAsia="en-US"/>
        </w:rPr>
        <w:t>1. Ответственным исполнителем программы «Межнациональные отношения, профилактика правонарушений, терроризма и поддержка казачества»:</w:t>
      </w:r>
    </w:p>
    <w:p>
      <w:pPr>
        <w:pStyle w:val="Normal"/>
        <w:ind w:firstLine="709"/>
        <w:jc w:val="both"/>
        <w:rPr/>
      </w:pPr>
      <w:r>
        <w:rPr>
          <w:rFonts w:eastAsia="Calibri"/>
          <w:b w:val="false"/>
          <w:bCs w:val="false"/>
          <w:color w:val="000000"/>
          <w:sz w:val="28"/>
          <w:szCs w:val="28"/>
          <w:lang w:val="ru-RU" w:eastAsia="en-US"/>
        </w:rPr>
        <w:t xml:space="preserve">1.1. Не устранены недочеты, выявленные в ходе мониторинга реализации  программ за I полугодие 2021 года. </w:t>
      </w:r>
    </w:p>
    <w:p>
      <w:pPr>
        <w:pStyle w:val="Normal"/>
        <w:ind w:firstLine="709"/>
        <w:jc w:val="both"/>
        <w:rPr/>
      </w:pPr>
      <w:r>
        <w:rPr>
          <w:rFonts w:eastAsia="Calibri" w:cs="Times New Roman"/>
          <w:b w:val="false"/>
          <w:bCs w:val="false"/>
          <w:color w:val="000000"/>
          <w:sz w:val="28"/>
          <w:szCs w:val="28"/>
          <w:lang w:val="ru-RU" w:eastAsia="en-US"/>
        </w:rPr>
        <w:t>1.2.</w:t>
      </w:r>
      <w:r>
        <w:rPr>
          <w:rFonts w:eastAsia="Calibri" w:cs="Times New Roman"/>
          <w:b w:val="false"/>
          <w:bCs w:val="false"/>
          <w:color w:val="070707"/>
          <w:sz w:val="28"/>
          <w:szCs w:val="28"/>
          <w:lang w:val="ru-RU" w:eastAsia="en-US"/>
        </w:rPr>
        <w:t xml:space="preserve"> В перечне соисполнителей подпрограммы </w:t>
      </w:r>
      <w:r>
        <w:rPr>
          <w:rFonts w:eastAsia="Lucida Sans Unicode" w:cs="Times New Roman"/>
          <w:b w:val="false"/>
          <w:bCs w:val="false"/>
          <w:color w:val="070707"/>
          <w:sz w:val="28"/>
          <w:szCs w:val="28"/>
          <w:lang w:val="ru-RU" w:eastAsia="en-US"/>
        </w:rPr>
        <w:t>«</w:t>
      </w:r>
      <w:bookmarkStart w:id="0" w:name="__DdeLink__264_27144103211"/>
      <w:r>
        <w:rPr>
          <w:rFonts w:eastAsia="Lucida Sans Unicode" w:cs="Times New Roman"/>
          <w:b w:val="false"/>
          <w:bCs w:val="false"/>
          <w:color w:val="070707"/>
          <w:sz w:val="28"/>
          <w:szCs w:val="28"/>
          <w:lang w:val="ru-RU" w:eastAsia="en-US"/>
        </w:rPr>
        <w:t>Антитеррористическая защищенность и защита населения и территории от чрезвычайных ситуаций</w:t>
      </w:r>
      <w:bookmarkEnd w:id="0"/>
      <w:r>
        <w:rPr>
          <w:rFonts w:eastAsia="Lucida Sans Unicode" w:cs="Times New Roman"/>
          <w:b w:val="false"/>
          <w:bCs w:val="false"/>
          <w:color w:val="070707"/>
          <w:sz w:val="28"/>
          <w:szCs w:val="28"/>
          <w:lang w:val="ru-RU" w:eastAsia="en-US"/>
        </w:rPr>
        <w:t>»</w:t>
      </w:r>
      <w:r>
        <w:rPr>
          <w:rFonts w:eastAsia="Calibri" w:cs="Times New Roman"/>
          <w:b w:val="false"/>
          <w:bCs w:val="false"/>
          <w:color w:val="070707"/>
          <w:sz w:val="28"/>
          <w:szCs w:val="28"/>
          <w:lang w:val="ru-RU" w:eastAsia="en-US"/>
        </w:rPr>
        <w:t xml:space="preserve">  программы «Межнациональные отношения, профилактика правонарушений, терроризма и поддержка казачества» отсутствует отдел физической культуры и спорта,  которому решением Совета Депутатов Петровского городского округа Ставропольского края </w:t>
      </w:r>
      <w:bookmarkStart w:id="1" w:name="__DdeLink__31871_1897643296"/>
      <w:r>
        <w:rPr>
          <w:rFonts w:eastAsia="Calibri" w:cs="Times New Roman"/>
          <w:b w:val="false"/>
          <w:bCs w:val="false"/>
          <w:color w:val="070707"/>
          <w:sz w:val="28"/>
          <w:szCs w:val="28"/>
          <w:lang w:val="ru-RU" w:eastAsia="en-US"/>
        </w:rPr>
        <w:t>от 30 сентября 2021 года № 105</w:t>
      </w:r>
      <w:bookmarkEnd w:id="1"/>
      <w:r>
        <w:rPr>
          <w:rFonts w:eastAsia="Calibri" w:cs="Times New Roman"/>
          <w:b w:val="false"/>
          <w:bCs w:val="false"/>
          <w:color w:val="070707"/>
          <w:sz w:val="28"/>
          <w:szCs w:val="28"/>
          <w:lang w:val="ru-RU" w:eastAsia="en-US"/>
        </w:rPr>
        <w:t xml:space="preserve"> «О внесении изменений в решение Совета Депутатов Петровского городского округа Ставропольского края от 10 декабря 2020 года №104 «О бюджете Петровского городского округа Ставропольского края на 2021 год и плановый период 2022 и 2023 годов» выделены денежные средства на реализацию основного мероприятия «</w:t>
      </w:r>
      <w:r>
        <w:rPr>
          <w:rFonts w:eastAsia="Lucida Sans Unicode" w:cs="Times New Roman"/>
          <w:b w:val="false"/>
          <w:bCs w:val="false"/>
          <w:color w:val="070707"/>
          <w:sz w:val="28"/>
          <w:szCs w:val="28"/>
          <w:lang w:val="ru-RU" w:eastAsia="en-US"/>
        </w:rPr>
        <w:t>Повышение уровня безопасности населения округа и защищенности критически важных объектов от террористических угроз».</w:t>
      </w:r>
    </w:p>
    <w:p>
      <w:pPr>
        <w:pStyle w:val="Normal"/>
        <w:ind w:firstLine="709"/>
        <w:jc w:val="both"/>
        <w:rPr/>
      </w:pPr>
      <w:r>
        <w:rPr>
          <w:rFonts w:eastAsia="Lucida Sans Unicode" w:cs="Times New Roman"/>
          <w:b w:val="false"/>
          <w:bCs w:val="false"/>
          <w:color w:val="070707"/>
          <w:sz w:val="28"/>
          <w:szCs w:val="28"/>
          <w:lang w:val="ru-RU" w:eastAsia="en-US"/>
        </w:rPr>
        <w:t xml:space="preserve">2. Ответственными исполнителями программам «Развитие образования» и «Социальное развитие» разработаны, но не утверждены изменения в программы в соответствие с </w:t>
      </w:r>
      <w:r>
        <w:rPr>
          <w:rFonts w:eastAsia="Calibri" w:cs="Times New Roman"/>
          <w:b w:val="false"/>
          <w:bCs w:val="false"/>
          <w:color w:val="070707"/>
          <w:sz w:val="28"/>
          <w:szCs w:val="28"/>
          <w:lang w:val="ru-RU" w:eastAsia="en-US"/>
        </w:rPr>
        <w:t xml:space="preserve">решением Совета Депутатов Петровского городского округа Ставропольского края от 22 июля 2021 года № 83 «О внесении изменений в решение Совета Депутатов Петровского городского округа Ставропольского края от 10 декабря 2020 года №104 «О бюджете Петровского городского округа Ставропольского края на 2021 год и плановый период 2022 и 2023 годов», которым предусмотрены денежные средства на реализацию инициативных проектов в Петровском городском округе Ставропольского края. На момент подготовки данной информации проекты нормотивно-правовых актов об утверждении внесения изменений в вышеуказанные программы направлены на антикоррупционную экспертизу. </w:t>
      </w:r>
    </w:p>
    <w:p>
      <w:pPr>
        <w:pStyle w:val="Normal"/>
        <w:ind w:firstLine="709"/>
        <w:jc w:val="both"/>
        <w:rPr>
          <w:color w:val="000000"/>
        </w:rPr>
      </w:pPr>
      <w:r>
        <w:rPr>
          <w:color w:val="000000"/>
          <w:sz w:val="28"/>
          <w:szCs w:val="28"/>
        </w:rPr>
        <w:t xml:space="preserve">Результаты выполнения контрольных событий программ за </w:t>
      </w:r>
      <w:r>
        <w:rPr>
          <w:color w:val="000000"/>
          <w:sz w:val="28"/>
          <w:szCs w:val="28"/>
          <w:lang w:val="ru-RU"/>
        </w:rPr>
        <w:t>9 месяцев</w:t>
      </w:r>
      <w:r>
        <w:rPr>
          <w:color w:val="000000"/>
          <w:sz w:val="28"/>
          <w:szCs w:val="28"/>
        </w:rPr>
        <w:t xml:space="preserve"> 202</w:t>
      </w:r>
      <w:r>
        <w:rPr>
          <w:color w:val="000000"/>
          <w:sz w:val="28"/>
          <w:szCs w:val="28"/>
          <w:lang w:val="ru-RU"/>
        </w:rPr>
        <w:t>1</w:t>
      </w:r>
      <w:r>
        <w:rPr>
          <w:color w:val="000000"/>
          <w:sz w:val="28"/>
          <w:szCs w:val="28"/>
        </w:rPr>
        <w:t xml:space="preserve"> года приведены в Приложении 2.</w:t>
      </w:r>
    </w:p>
    <w:p>
      <w:pPr>
        <w:pStyle w:val="Normal"/>
        <w:ind w:firstLine="709"/>
        <w:jc w:val="both"/>
        <w:rPr>
          <w:color w:val="C9211E"/>
          <w:sz w:val="28"/>
          <w:szCs w:val="28"/>
        </w:rPr>
      </w:pPr>
      <w:r>
        <w:rPr>
          <w:color w:val="C9211E"/>
          <w:sz w:val="28"/>
          <w:szCs w:val="28"/>
        </w:rPr>
      </w:r>
    </w:p>
    <w:p>
      <w:pPr>
        <w:pStyle w:val="Normal"/>
        <w:ind w:firstLine="709"/>
        <w:jc w:val="both"/>
        <w:rPr>
          <w:color w:val="000000"/>
        </w:rPr>
      </w:pPr>
      <w:r>
        <w:rPr>
          <w:color w:val="000000"/>
          <w:sz w:val="28"/>
          <w:szCs w:val="28"/>
        </w:rPr>
        <w:t xml:space="preserve">По результатам мониторинга хода реализации программ за </w:t>
      </w:r>
      <w:r>
        <w:rPr>
          <w:color w:val="000000"/>
          <w:sz w:val="28"/>
          <w:szCs w:val="28"/>
          <w:lang w:val="ru-RU"/>
        </w:rPr>
        <w:t>9 месяцев</w:t>
      </w:r>
      <w:r>
        <w:rPr>
          <w:color w:val="000000"/>
          <w:sz w:val="28"/>
          <w:szCs w:val="28"/>
        </w:rPr>
        <w:t xml:space="preserve"> 202</w:t>
      </w:r>
      <w:r>
        <w:rPr>
          <w:color w:val="000000"/>
          <w:sz w:val="28"/>
          <w:szCs w:val="28"/>
          <w:lang w:val="ru-RU"/>
        </w:rPr>
        <w:t>1</w:t>
      </w:r>
      <w:r>
        <w:rPr>
          <w:color w:val="000000"/>
          <w:sz w:val="28"/>
          <w:szCs w:val="28"/>
        </w:rPr>
        <w:t xml:space="preserve"> года в рамках повышения качества работы с программами необходимо:</w:t>
      </w:r>
    </w:p>
    <w:p>
      <w:pPr>
        <w:pStyle w:val="Normal"/>
        <w:ind w:firstLine="709"/>
        <w:jc w:val="both"/>
        <w:rPr/>
      </w:pPr>
      <w:r>
        <w:rPr>
          <w:color w:val="000000"/>
          <w:sz w:val="28"/>
          <w:szCs w:val="28"/>
        </w:rPr>
        <w:t>1. Ответственным исполнителям программ  «Социальное развитие»,  «</w:t>
      </w:r>
      <w:r>
        <w:rPr>
          <w:rFonts w:eastAsia="Calibri"/>
          <w:color w:val="000000"/>
          <w:sz w:val="28"/>
          <w:szCs w:val="28"/>
        </w:rPr>
        <w:t>Развитие жилищно-коммунального хозяйства», «Управление имуществом»,</w:t>
      </w:r>
      <w:r>
        <w:rPr>
          <w:color w:val="000000"/>
          <w:sz w:val="28"/>
          <w:szCs w:val="28"/>
        </w:rPr>
        <w:t xml:space="preserve"> </w:t>
      </w:r>
      <w:r>
        <w:rPr>
          <w:rFonts w:eastAsia="Calibri"/>
          <w:color w:val="000000"/>
          <w:sz w:val="28"/>
          <w:szCs w:val="28"/>
        </w:rPr>
        <w:t xml:space="preserve"> </w:t>
      </w:r>
      <w:r>
        <w:rPr>
          <w:color w:val="000000"/>
          <w:sz w:val="28"/>
          <w:szCs w:val="28"/>
        </w:rPr>
        <w:t xml:space="preserve"> совместно с соисполнителями программ проанализировать причины, повлиявшие на отклонение сроков выполнения (невыполнения) контрольных событий основных мероприятий программ, и принять меры по своевременному и полному выполнению контрольных событий основных мероприятий подпрограмм программ, содержащихся в детальных планах – графиках реализации программ на 202</w:t>
      </w:r>
      <w:r>
        <w:rPr>
          <w:color w:val="000000"/>
          <w:sz w:val="28"/>
          <w:szCs w:val="28"/>
          <w:lang w:val="ru-RU"/>
        </w:rPr>
        <w:t>1</w:t>
      </w:r>
      <w:r>
        <w:rPr>
          <w:color w:val="000000"/>
          <w:sz w:val="28"/>
          <w:szCs w:val="28"/>
        </w:rPr>
        <w:t xml:space="preserve"> год.</w:t>
      </w:r>
    </w:p>
    <w:p>
      <w:pPr>
        <w:pStyle w:val="Normal"/>
        <w:widowControl w:val="false"/>
        <w:ind w:firstLine="709"/>
        <w:jc w:val="both"/>
        <w:rPr/>
      </w:pPr>
      <w:r>
        <w:rPr>
          <w:rFonts w:eastAsia="Cambria" w:cs="Times New Roman"/>
          <w:bCs/>
          <w:i w:val="false"/>
          <w:iCs w:val="false"/>
          <w:color w:val="000000"/>
          <w:sz w:val="28"/>
          <w:szCs w:val="28"/>
          <w:shd w:fill="FFFFFF" w:val="clear"/>
          <w:lang w:val="ru-RU" w:eastAsia="en-US"/>
        </w:rPr>
        <w:t xml:space="preserve">2. </w:t>
      </w:r>
      <w:bookmarkStart w:id="2" w:name="__DdeLink__34347_3147023954"/>
      <w:r>
        <w:rPr>
          <w:rFonts w:eastAsia="Calibri" w:cs="Times New Roman"/>
          <w:bCs/>
          <w:i w:val="false"/>
          <w:iCs w:val="false"/>
          <w:color w:val="000000"/>
          <w:sz w:val="28"/>
          <w:szCs w:val="28"/>
          <w:highlight w:val="white"/>
          <w:lang w:val="ru-RU" w:eastAsia="en-US"/>
        </w:rPr>
        <w:t xml:space="preserve">Ответственному исполнителю </w:t>
      </w:r>
      <w:bookmarkStart w:id="3" w:name="__DdeLink__298_2505735796"/>
      <w:r>
        <w:rPr>
          <w:rFonts w:eastAsia="Calibri" w:cs="Times New Roman"/>
          <w:bCs/>
          <w:i w:val="false"/>
          <w:iCs w:val="false"/>
          <w:color w:val="000000"/>
          <w:sz w:val="28"/>
          <w:szCs w:val="28"/>
          <w:highlight w:val="white"/>
          <w:lang w:val="ru-RU" w:eastAsia="en-US"/>
        </w:rPr>
        <w:t>программы</w:t>
      </w:r>
      <w:bookmarkEnd w:id="2"/>
      <w:r>
        <w:rPr>
          <w:rFonts w:eastAsia="Calibri" w:cs="Times New Roman"/>
          <w:bCs/>
          <w:i w:val="false"/>
          <w:iCs w:val="false"/>
          <w:color w:val="000000"/>
          <w:sz w:val="28"/>
          <w:szCs w:val="28"/>
          <w:highlight w:val="white"/>
          <w:lang w:val="ru-RU" w:eastAsia="en-US"/>
        </w:rPr>
        <w:t xml:space="preserve"> </w:t>
      </w:r>
      <w:r>
        <w:rPr>
          <w:rFonts w:eastAsia="Calibri" w:cs="Times New Roman"/>
          <w:color w:val="000000"/>
          <w:sz w:val="28"/>
          <w:szCs w:val="28"/>
          <w:lang w:val="ru-RU" w:eastAsia="en-US"/>
        </w:rPr>
        <w:t>«Межнациональные отношения, профилактика правонарушений, терроризма и поддержка казачества»</w:t>
      </w:r>
      <w:bookmarkEnd w:id="3"/>
      <w:r>
        <w:rPr>
          <w:rFonts w:eastAsia="Calibri" w:cs="Times New Roman"/>
          <w:color w:val="000000"/>
          <w:sz w:val="28"/>
          <w:szCs w:val="28"/>
          <w:lang w:val="ru-RU" w:eastAsia="en-US"/>
        </w:rPr>
        <w:t xml:space="preserve"> </w:t>
      </w:r>
      <w:r>
        <w:rPr>
          <w:rFonts w:eastAsia="Lucida Sans Unicode" w:cs="Times New Roman"/>
          <w:b w:val="false"/>
          <w:bCs w:val="false"/>
          <w:color w:val="000000"/>
          <w:sz w:val="28"/>
          <w:szCs w:val="28"/>
          <w:lang w:val="ru-RU" w:eastAsia="en-US"/>
        </w:rPr>
        <w:t>привести</w:t>
      </w:r>
      <w:r>
        <w:rPr>
          <w:rFonts w:eastAsia="Calibri" w:cs="Times New Roman"/>
          <w:b w:val="false"/>
          <w:bCs w:val="false"/>
          <w:color w:val="000000"/>
          <w:sz w:val="28"/>
          <w:szCs w:val="28"/>
          <w:lang w:val="ru-RU" w:eastAsia="en-US"/>
        </w:rPr>
        <w:t xml:space="preserve"> муниципальную программу в соответствие с решением Совета Депутатов Петровского городского округа Ставропольского края от  от 10 декабря 2020 года № 104 «О бюджете Петровского городского округа Ставропольского края на 2021 год и плановый период 2022 и 2023 годов» ( с изменениями от</w:t>
      </w:r>
      <w:r>
        <w:rPr>
          <w:rFonts w:eastAsia="Calibri" w:cs="Times New Roman"/>
          <w:b w:val="false"/>
          <w:bCs w:val="false"/>
          <w:color w:val="C9211E"/>
          <w:sz w:val="28"/>
          <w:szCs w:val="28"/>
          <w:lang w:val="ru-RU" w:eastAsia="en-US"/>
        </w:rPr>
        <w:t xml:space="preserve"> </w:t>
      </w:r>
      <w:r>
        <w:rPr>
          <w:rFonts w:eastAsia="Calibri" w:cs="Times New Roman"/>
          <w:b w:val="false"/>
          <w:bCs w:val="false"/>
          <w:color w:val="000000"/>
          <w:sz w:val="28"/>
          <w:szCs w:val="28"/>
          <w:lang w:val="ru-RU" w:eastAsia="en-US"/>
        </w:rPr>
        <w:t>20 мая 2021 года № 43,</w:t>
      </w:r>
      <w:r>
        <w:rPr>
          <w:rFonts w:eastAsia="Calibri" w:cs="Times New Roman"/>
          <w:b w:val="false"/>
          <w:bCs w:val="false"/>
          <w:color w:val="C9211E"/>
          <w:sz w:val="28"/>
          <w:szCs w:val="28"/>
          <w:lang w:val="ru-RU" w:eastAsia="en-US"/>
        </w:rPr>
        <w:t xml:space="preserve">  </w:t>
      </w:r>
      <w:r>
        <w:rPr>
          <w:rFonts w:eastAsia="Calibri" w:cs="Times New Roman"/>
          <w:b w:val="false"/>
          <w:bCs w:val="false"/>
          <w:color w:val="070707"/>
          <w:sz w:val="28"/>
          <w:szCs w:val="28"/>
          <w:lang w:val="ru-RU" w:eastAsia="en-US"/>
        </w:rPr>
        <w:t>от 30 сентября 2021 года № 105) в срок до 1 декабря 2021 года.</w:t>
      </w:r>
    </w:p>
    <w:p>
      <w:pPr>
        <w:pStyle w:val="ConsPlusNormal"/>
        <w:ind w:firstLine="709"/>
        <w:jc w:val="both"/>
        <w:rPr>
          <w:color w:val="C9211E"/>
          <w:sz w:val="28"/>
          <w:szCs w:val="28"/>
        </w:rPr>
      </w:pPr>
      <w:r>
        <w:rPr>
          <w:color w:val="C9211E"/>
          <w:sz w:val="28"/>
          <w:szCs w:val="28"/>
        </w:rPr>
      </w:r>
    </w:p>
    <w:p>
      <w:pPr>
        <w:pStyle w:val="Normal"/>
        <w:ind w:firstLine="709"/>
        <w:jc w:val="both"/>
        <w:rPr>
          <w:color w:val="000000"/>
        </w:rPr>
      </w:pPr>
      <w:r>
        <w:rPr>
          <w:color w:val="000000"/>
          <w:sz w:val="28"/>
          <w:szCs w:val="28"/>
        </w:rPr>
        <w:t xml:space="preserve">Приложение на </w:t>
      </w:r>
      <w:r>
        <w:rPr>
          <w:color w:val="000000"/>
          <w:sz w:val="28"/>
          <w:szCs w:val="28"/>
          <w:lang w:val="ru-RU"/>
        </w:rPr>
        <w:t>8</w:t>
      </w:r>
      <w:r>
        <w:rPr>
          <w:color w:val="000000"/>
          <w:sz w:val="28"/>
          <w:szCs w:val="28"/>
        </w:rPr>
        <w:t xml:space="preserve"> листах в 1 экземпляре.</w:t>
      </w:r>
    </w:p>
    <w:p>
      <w:pPr>
        <w:pStyle w:val="Normal"/>
        <w:ind w:firstLine="709"/>
        <w:jc w:val="both"/>
        <w:rPr>
          <w:color w:val="C9211E"/>
          <w:spacing w:val="-6"/>
          <w:sz w:val="24"/>
          <w:szCs w:val="24"/>
        </w:rPr>
      </w:pPr>
      <w:r>
        <w:rPr>
          <w:color w:val="C9211E"/>
          <w:spacing w:val="-6"/>
          <w:sz w:val="24"/>
          <w:szCs w:val="24"/>
        </w:rPr>
      </w:r>
    </w:p>
    <w:p>
      <w:pPr>
        <w:pStyle w:val="Normal"/>
        <w:ind w:firstLine="709"/>
        <w:jc w:val="both"/>
        <w:rPr>
          <w:color w:val="C9211E"/>
          <w:spacing w:val="-6"/>
          <w:sz w:val="24"/>
          <w:szCs w:val="24"/>
        </w:rPr>
      </w:pPr>
      <w:r>
        <w:rPr>
          <w:color w:val="C9211E"/>
          <w:spacing w:val="-6"/>
          <w:sz w:val="24"/>
          <w:szCs w:val="24"/>
        </w:rPr>
      </w:r>
    </w:p>
    <w:p>
      <w:pPr>
        <w:pStyle w:val="Normal"/>
        <w:ind w:firstLine="709"/>
        <w:jc w:val="both"/>
        <w:rPr>
          <w:color w:val="000000"/>
          <w:spacing w:val="-6"/>
          <w:sz w:val="24"/>
          <w:szCs w:val="24"/>
        </w:rPr>
      </w:pPr>
      <w:r>
        <w:rPr>
          <w:color w:val="000000"/>
          <w:spacing w:val="-6"/>
          <w:sz w:val="24"/>
          <w:szCs w:val="24"/>
        </w:rPr>
      </w:r>
    </w:p>
    <w:p>
      <w:pPr>
        <w:pStyle w:val="Normal"/>
        <w:spacing w:lineRule="exact" w:line="240"/>
        <w:jc w:val="both"/>
        <w:rPr>
          <w:sz w:val="28"/>
          <w:szCs w:val="28"/>
        </w:rPr>
      </w:pPr>
      <w:r>
        <w:rPr>
          <w:color w:val="000000"/>
          <w:sz w:val="28"/>
          <w:szCs w:val="28"/>
        </w:rPr>
        <w:t>Начальник отдела стратегического</w:t>
      </w:r>
    </w:p>
    <w:p>
      <w:pPr>
        <w:pStyle w:val="Normal"/>
        <w:spacing w:lineRule="exact" w:line="240"/>
        <w:jc w:val="both"/>
        <w:rPr>
          <w:color w:val="070707"/>
          <w:sz w:val="28"/>
          <w:szCs w:val="28"/>
        </w:rPr>
      </w:pPr>
      <w:r>
        <w:rPr>
          <w:color w:val="000000"/>
          <w:sz w:val="28"/>
          <w:szCs w:val="28"/>
        </w:rPr>
        <w:t xml:space="preserve">планирования и инвестиций администрации </w:t>
      </w:r>
    </w:p>
    <w:p>
      <w:pPr>
        <w:pStyle w:val="Normal"/>
        <w:spacing w:lineRule="exact" w:line="240"/>
        <w:jc w:val="both"/>
        <w:rPr>
          <w:color w:val="070707"/>
          <w:sz w:val="28"/>
          <w:szCs w:val="28"/>
        </w:rPr>
      </w:pPr>
      <w:r>
        <w:rPr>
          <w:color w:val="000000"/>
          <w:sz w:val="28"/>
          <w:szCs w:val="28"/>
        </w:rPr>
        <w:t>Петровского городского округа</w:t>
      </w:r>
    </w:p>
    <w:p>
      <w:pPr>
        <w:pStyle w:val="Normal"/>
        <w:spacing w:lineRule="exact" w:line="240"/>
        <w:jc w:val="both"/>
        <w:rPr>
          <w:color w:val="C9211E"/>
        </w:rPr>
      </w:pPr>
      <w:r>
        <w:rPr>
          <w:color w:val="000000"/>
          <w:sz w:val="28"/>
          <w:szCs w:val="28"/>
        </w:rPr>
        <w:t xml:space="preserve">Ставропольского края                                                                   Л.В. Кириленко </w:t>
      </w:r>
    </w:p>
    <w:p>
      <w:pPr>
        <w:pStyle w:val="Normal"/>
        <w:jc w:val="both"/>
        <w:rPr>
          <w:color w:val="000000"/>
          <w:sz w:val="28"/>
          <w:szCs w:val="28"/>
        </w:rPr>
      </w:pPr>
      <w:r>
        <w:rPr>
          <w:color w:val="000000"/>
          <w:sz w:val="28"/>
          <w:szCs w:val="28"/>
        </w:rPr>
      </w:r>
    </w:p>
    <w:p>
      <w:pPr>
        <w:pStyle w:val="Normal"/>
        <w:jc w:val="both"/>
        <w:rPr>
          <w:color w:val="C9211E"/>
          <w:sz w:val="28"/>
          <w:szCs w:val="28"/>
        </w:rPr>
      </w:pPr>
      <w:r>
        <w:rPr>
          <w:color w:val="C9211E"/>
          <w:sz w:val="28"/>
          <w:szCs w:val="28"/>
        </w:rPr>
      </w:r>
    </w:p>
    <w:p>
      <w:pPr>
        <w:pStyle w:val="Normal"/>
        <w:jc w:val="both"/>
        <w:rPr>
          <w:color w:val="C9211E"/>
          <w:sz w:val="28"/>
          <w:szCs w:val="28"/>
        </w:rPr>
      </w:pPr>
      <w:r>
        <w:rPr>
          <w:color w:val="C9211E"/>
          <w:sz w:val="28"/>
          <w:szCs w:val="28"/>
        </w:rPr>
      </w:r>
    </w:p>
    <w:p>
      <w:pPr>
        <w:pStyle w:val="Normal"/>
        <w:rPr>
          <w:color w:val="070707"/>
          <w:sz w:val="20"/>
          <w:szCs w:val="20"/>
        </w:rPr>
      </w:pPr>
      <w:r>
        <w:rPr>
          <w:color w:val="000000"/>
          <w:sz w:val="20"/>
          <w:szCs w:val="20"/>
        </w:rPr>
        <w:t xml:space="preserve">Мязина Л.В. </w:t>
      </w:r>
    </w:p>
    <w:p>
      <w:pPr>
        <w:pStyle w:val="Normal"/>
        <w:rPr/>
      </w:pPr>
      <w:r>
        <w:rPr>
          <w:color w:val="000000"/>
          <w:sz w:val="20"/>
          <w:szCs w:val="20"/>
        </w:rPr>
        <w:t>4-05-36</w:t>
      </w:r>
    </w:p>
    <w:sectPr>
      <w:type w:val="nextPage"/>
      <w:pgSz w:w="11906" w:h="16838"/>
      <w:pgMar w:left="1985" w:right="567" w:header="0" w:top="850" w:footer="0"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DejaVu Sans">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0"/>
  <w:defaultTabStop w:val="50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62ad"/>
    <w:pPr>
      <w:widowControl/>
      <w:bidi w:val="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qFormat/>
    <w:rsid w:val="002862ad"/>
    <w:rPr>
      <w:rFonts w:ascii="Times New Roman" w:hAnsi="Times New Roman" w:eastAsia="Times New Roman" w:cs="Times New Roman"/>
      <w:sz w:val="26"/>
      <w:szCs w:val="20"/>
      <w:lang w:eastAsia="ru-RU"/>
    </w:rPr>
  </w:style>
  <w:style w:type="paragraph" w:styleId="Style15">
    <w:name w:val="Заголовок"/>
    <w:basedOn w:val="Normal"/>
    <w:next w:val="Style16"/>
    <w:qFormat/>
    <w:pPr>
      <w:keepNext w:val="true"/>
      <w:spacing w:before="240" w:after="120"/>
    </w:pPr>
    <w:rPr>
      <w:rFonts w:ascii="DejaVu Sans" w:hAnsi="DejaVu Sans" w:eastAsia="Droid Sans Fallback"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Style20">
    <w:name w:val="Title"/>
    <w:basedOn w:val="Normal"/>
    <w:next w:val="Style16"/>
    <w:qFormat/>
    <w:pPr>
      <w:keepNext w:val="true"/>
      <w:spacing w:before="240" w:after="120"/>
    </w:pPr>
    <w:rPr>
      <w:rFonts w:ascii="DejaVu Sans" w:hAnsi="DejaVu Sans" w:eastAsia="Droid Sans Fallback" w:cs="Droid Sans Devanagari"/>
      <w:sz w:val="28"/>
      <w:szCs w:val="28"/>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Style21">
    <w:name w:val="Body Text Indent"/>
    <w:basedOn w:val="Normal"/>
    <w:rsid w:val="002862ad"/>
    <w:pPr>
      <w:ind w:firstLine="567"/>
      <w:jc w:val="both"/>
    </w:pPr>
    <w:rPr>
      <w:sz w:val="26"/>
    </w:rPr>
  </w:style>
  <w:style w:type="paragraph" w:styleId="ListParagraph">
    <w:name w:val="List Paragraph"/>
    <w:basedOn w:val="Normal"/>
    <w:uiPriority w:val="34"/>
    <w:qFormat/>
    <w:rsid w:val="004061a4"/>
    <w:pPr>
      <w:spacing w:before="0" w:after="0"/>
      <w:ind w:left="720" w:hanging="0"/>
      <w:contextualSpacing/>
    </w:pPr>
    <w:rPr/>
  </w:style>
  <w:style w:type="paragraph" w:styleId="ConsPlusNormal" w:customStyle="1">
    <w:name w:val="ConsPlusNormal"/>
    <w:qFormat/>
    <w:rsid w:val="003209aa"/>
    <w:pPr>
      <w:widowControl w:val="false"/>
      <w:bidi w:val="0"/>
      <w:ind w:firstLine="72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2862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Application>LibreOffice/6.2.8.2$Linux_X86_64 LibreOffice_project/20$Build-2</Application>
  <Pages>4</Pages>
  <Words>1517</Words>
  <Characters>8650</Characters>
  <CharactersWithSpaces>10147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2020-05-20T11:44:00Z</dcterms:created>
  <dc:creator>myazina</dc:creator>
  <dc:description/>
  <dc:language>ru-RU</dc:language>
  <cp:lastModifiedBy/>
  <cp:lastPrinted>2021-11-10T15:58:59Z</cp:lastPrinted>
  <dcterms:modified xsi:type="dcterms:W3CDTF">2021-11-11T15:13:53Z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