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58" w:rsidRPr="00111758" w:rsidRDefault="00111758" w:rsidP="00111758">
      <w:pPr>
        <w:spacing w:before="1050" w:after="450" w:line="240" w:lineRule="atLeast"/>
        <w:jc w:val="center"/>
        <w:textAlignment w:val="baseline"/>
        <w:outlineLvl w:val="0"/>
        <w:rPr>
          <w:rFonts w:ascii="Cuprum" w:eastAsia="Times New Roman" w:hAnsi="Cuprum" w:cs="Arial"/>
          <w:b/>
          <w:bCs/>
          <w:caps/>
          <w:color w:val="004A80"/>
          <w:kern w:val="36"/>
          <w:sz w:val="60"/>
          <w:szCs w:val="60"/>
          <w:lang w:eastAsia="ru-RU"/>
        </w:rPr>
      </w:pPr>
      <w:r w:rsidRPr="00111758">
        <w:rPr>
          <w:rFonts w:ascii="Cuprum" w:eastAsia="Times New Roman" w:hAnsi="Cuprum" w:cs="Arial"/>
          <w:b/>
          <w:bCs/>
          <w:caps/>
          <w:color w:val="004A80"/>
          <w:kern w:val="36"/>
          <w:sz w:val="60"/>
          <w:szCs w:val="60"/>
          <w:lang w:eastAsia="ru-RU"/>
        </w:rPr>
        <w:t>ПРОМЫШЛЕННИК</w:t>
      </w:r>
    </w:p>
    <w:p w:rsidR="00111758" w:rsidRPr="00111758" w:rsidRDefault="00111758" w:rsidP="00111758">
      <w:pPr>
        <w:spacing w:after="300" w:line="240" w:lineRule="auto"/>
        <w:textAlignment w:val="baseline"/>
        <w:rPr>
          <w:rFonts w:ascii="PT Sans" w:eastAsia="Times New Roman" w:hAnsi="PT Sans" w:cs="Arial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Arial"/>
          <w:color w:val="231F20"/>
          <w:sz w:val="24"/>
          <w:szCs w:val="24"/>
          <w:lang w:eastAsia="ru-RU"/>
        </w:rPr>
        <w:t>Приложение №6</w:t>
      </w:r>
    </w:p>
    <w:p w:rsidR="00111758" w:rsidRPr="00111758" w:rsidRDefault="00111758" w:rsidP="00111758">
      <w:pPr>
        <w:spacing w:after="300" w:line="240" w:lineRule="auto"/>
        <w:textAlignment w:val="baseline"/>
        <w:rPr>
          <w:rFonts w:ascii="PT Sans" w:eastAsia="Times New Roman" w:hAnsi="PT Sans" w:cs="Arial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Arial"/>
          <w:color w:val="231F20"/>
          <w:sz w:val="24"/>
          <w:szCs w:val="24"/>
          <w:lang w:eastAsia="ru-RU"/>
        </w:rPr>
        <w:t>к Правилам предоставления микрозаймов, утвержденных протоколом Совета</w:t>
      </w:r>
      <w:r w:rsidRPr="00111758">
        <w:rPr>
          <w:rFonts w:ascii="PT Sans" w:eastAsia="Times New Roman" w:hAnsi="PT Sans" w:cs="Arial"/>
          <w:color w:val="231F20"/>
          <w:sz w:val="24"/>
          <w:szCs w:val="24"/>
          <w:lang w:eastAsia="ru-RU"/>
        </w:rPr>
        <w:br/>
      </w:r>
      <w:r w:rsidRPr="00111758">
        <w:rPr>
          <w:rFonts w:ascii="PT Sans" w:eastAsia="Times New Roman" w:hAnsi="PT Sans" w:cs="Arial"/>
          <w:color w:val="231F20"/>
          <w:sz w:val="24"/>
          <w:szCs w:val="24"/>
          <w:lang w:eastAsia="ru-RU"/>
        </w:rPr>
        <w:br/>
        <w:t>Ставропольского краевого фонда микрофинансирования от № 17 от «14» мая 2018 г.</w:t>
      </w:r>
    </w:p>
    <w:p w:rsidR="00111758" w:rsidRPr="00111758" w:rsidRDefault="00111758" w:rsidP="00111758">
      <w:pPr>
        <w:spacing w:after="0" w:line="240" w:lineRule="auto"/>
        <w:textAlignment w:val="baseline"/>
        <w:rPr>
          <w:rFonts w:ascii="PT Sans" w:eastAsia="Times New Roman" w:hAnsi="PT Sans" w:cs="Arial"/>
          <w:color w:val="231F20"/>
          <w:sz w:val="24"/>
          <w:szCs w:val="24"/>
          <w:lang w:eastAsia="ru-RU"/>
        </w:rPr>
      </w:pPr>
      <w:r w:rsidRPr="00111758">
        <w:rPr>
          <w:rFonts w:ascii="Cuprum" w:eastAsia="Times New Roman" w:hAnsi="Cuprum" w:cs="Arial"/>
          <w:caps/>
          <w:color w:val="231F20"/>
          <w:sz w:val="21"/>
          <w:szCs w:val="21"/>
          <w:bdr w:val="none" w:sz="0" w:space="0" w:color="auto" w:frame="1"/>
          <w:lang w:eastAsia="ru-RU"/>
        </w:rPr>
        <w:t>ОБЩИЕ УСЛОВИЯ ПРЕДОСТАВЛЕНИЯ МИКРОЗАЙМА:</w:t>
      </w:r>
    </w:p>
    <w:tbl>
      <w:tblPr>
        <w:tblW w:w="17985" w:type="dxa"/>
        <w:tblCellMar>
          <w:left w:w="0" w:type="dxa"/>
          <w:right w:w="0" w:type="dxa"/>
        </w:tblCellMar>
        <w:tblLook w:val="04A0"/>
      </w:tblPr>
      <w:tblGrid>
        <w:gridCol w:w="855"/>
        <w:gridCol w:w="4680"/>
        <w:gridCol w:w="12450"/>
      </w:tblGrid>
      <w:tr w:rsidR="00111758" w:rsidRPr="00111758" w:rsidTr="00111758"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 xml:space="preserve">Сумма </w:t>
            </w:r>
            <w:proofErr w:type="spellStart"/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микрозайма</w:t>
            </w:r>
            <w:proofErr w:type="spellEnd"/>
          </w:p>
        </w:tc>
        <w:tc>
          <w:tcPr>
            <w:tcW w:w="12450" w:type="dxa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 xml:space="preserve">до 5 000 </w:t>
            </w:r>
            <w:proofErr w:type="spellStart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000</w:t>
            </w:r>
            <w:proofErr w:type="spellEnd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 xml:space="preserve"> (пять миллионов) рублей включительно*</w:t>
            </w:r>
          </w:p>
        </w:tc>
      </w:tr>
      <w:tr w:rsidR="00111758" w:rsidRPr="00111758" w:rsidTr="00111758"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 xml:space="preserve">Срок предоставления </w:t>
            </w:r>
            <w:proofErr w:type="spellStart"/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микрозайма</w:t>
            </w:r>
            <w:proofErr w:type="spellEnd"/>
          </w:p>
        </w:tc>
        <w:tc>
          <w:tcPr>
            <w:tcW w:w="12450" w:type="dxa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 xml:space="preserve">до 36 (тридцати шести) месяцев включительно от даты заключения договора </w:t>
            </w:r>
            <w:proofErr w:type="spellStart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</w:tr>
      <w:tr w:rsidR="00111758" w:rsidRPr="00111758" w:rsidTr="00111758"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 xml:space="preserve">Форма предоставления </w:t>
            </w:r>
            <w:proofErr w:type="spellStart"/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микрозайма</w:t>
            </w:r>
            <w:proofErr w:type="spellEnd"/>
          </w:p>
        </w:tc>
        <w:tc>
          <w:tcPr>
            <w:tcW w:w="12450" w:type="dxa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единовременный</w:t>
            </w:r>
            <w:proofErr w:type="gramEnd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, транши</w:t>
            </w:r>
          </w:p>
        </w:tc>
      </w:tr>
      <w:tr w:rsidR="00111758" w:rsidRPr="00111758" w:rsidTr="00111758"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 xml:space="preserve">Порядок погашения </w:t>
            </w:r>
            <w:proofErr w:type="spellStart"/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микрозайма</w:t>
            </w:r>
            <w:proofErr w:type="spellEnd"/>
          </w:p>
        </w:tc>
        <w:tc>
          <w:tcPr>
            <w:tcW w:w="12450" w:type="dxa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</w:p>
          <w:p w:rsid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равными платежами/индивидуальный график/отсрочка</w:t>
            </w:r>
            <w:proofErr w:type="gramStart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 xml:space="preserve">ри расчете процентов за пользование </w:t>
            </w:r>
          </w:p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микрозаймом</w:t>
            </w:r>
            <w:proofErr w:type="spellEnd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 xml:space="preserve"> применяется дифференцированная система</w:t>
            </w:r>
          </w:p>
        </w:tc>
      </w:tr>
      <w:tr w:rsidR="00111758" w:rsidRPr="00111758" w:rsidTr="00111758"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Категория заемщика</w:t>
            </w:r>
          </w:p>
        </w:tc>
        <w:tc>
          <w:tcPr>
            <w:tcW w:w="12450" w:type="dxa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СМиСП</w:t>
            </w:r>
            <w:proofErr w:type="spellEnd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, занятые в обрабатывающей отрасли Раздел</w:t>
            </w:r>
            <w:proofErr w:type="gramStart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, ОКВЭД-2 2018, классы ОКВЭД 10-33 (за исключением видов экономической деятельности по производству и (или) организации подакцизных товаров) Общероссийского классификатора видов экономической деятельности (ОК 029-2014 (КДЕС ред.2)</w:t>
            </w:r>
          </w:p>
        </w:tc>
      </w:tr>
      <w:tr w:rsidR="00111758" w:rsidRPr="00111758" w:rsidTr="00111758"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Обеспечение</w:t>
            </w:r>
          </w:p>
        </w:tc>
        <w:tc>
          <w:tcPr>
            <w:tcW w:w="12450" w:type="dxa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111758" w:rsidRPr="00111758" w:rsidRDefault="00111758" w:rsidP="00111758">
            <w:pPr>
              <w:numPr>
                <w:ilvl w:val="0"/>
                <w:numId w:val="1"/>
              </w:numPr>
              <w:spacing w:after="150" w:line="240" w:lineRule="auto"/>
              <w:ind w:left="0"/>
              <w:textAlignment w:val="baseline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Залог ликвидного имущества (в том числе залог третьих лиц).</w:t>
            </w:r>
          </w:p>
          <w:p w:rsidR="00111758" w:rsidRPr="00111758" w:rsidRDefault="00111758" w:rsidP="00111758">
            <w:pPr>
              <w:numPr>
                <w:ilvl w:val="0"/>
                <w:numId w:val="1"/>
              </w:numPr>
              <w:spacing w:after="150" w:line="240" w:lineRule="auto"/>
              <w:ind w:left="0"/>
              <w:textAlignment w:val="baseline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 xml:space="preserve">Предоставление поручительства физического и/или юридического лица в обеспечение своевременного и полного исполнения обязательств по Договору </w:t>
            </w:r>
            <w:proofErr w:type="spellStart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111758" w:rsidRPr="00111758" w:rsidRDefault="00111758" w:rsidP="00111758">
            <w:pPr>
              <w:numPr>
                <w:ilvl w:val="0"/>
                <w:numId w:val="1"/>
              </w:numPr>
              <w:spacing w:after="150" w:line="240" w:lineRule="auto"/>
              <w:ind w:left="0"/>
              <w:textAlignment w:val="baseline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Поручительство Гарантийного Фонда.</w:t>
            </w:r>
          </w:p>
          <w:p w:rsidR="00111758" w:rsidRPr="00111758" w:rsidRDefault="00111758" w:rsidP="00111758">
            <w:pPr>
              <w:numPr>
                <w:ilvl w:val="0"/>
                <w:numId w:val="1"/>
              </w:numPr>
              <w:spacing w:after="150" w:line="240" w:lineRule="auto"/>
              <w:ind w:left="0"/>
              <w:textAlignment w:val="baseline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Залог приобретаемого оборудования.</w:t>
            </w:r>
          </w:p>
        </w:tc>
      </w:tr>
      <w:tr w:rsidR="00111758" w:rsidRPr="00111758" w:rsidTr="00111758"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Процентная ставка</w:t>
            </w:r>
          </w:p>
        </w:tc>
        <w:tc>
          <w:tcPr>
            <w:tcW w:w="12450" w:type="dxa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1% годовых</w:t>
            </w:r>
          </w:p>
        </w:tc>
      </w:tr>
      <w:tr w:rsidR="00111758" w:rsidRPr="00111758" w:rsidTr="00111758"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vAlign w:val="bottom"/>
            <w:hideMark/>
          </w:tcPr>
          <w:p w:rsidR="00111758" w:rsidRPr="00111758" w:rsidRDefault="00111758" w:rsidP="00111758">
            <w:pPr>
              <w:spacing w:after="0" w:line="240" w:lineRule="auto"/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7"/>
                <w:szCs w:val="27"/>
                <w:lang w:eastAsia="ru-RU"/>
              </w:rPr>
              <w:t>Дополнительные условия</w:t>
            </w:r>
          </w:p>
        </w:tc>
        <w:tc>
          <w:tcPr>
            <w:tcW w:w="12450" w:type="dxa"/>
            <w:tcBorders>
              <w:top w:val="single" w:sz="6" w:space="0" w:color="E4F1FC"/>
              <w:left w:val="single" w:sz="6" w:space="0" w:color="E4F1FC"/>
              <w:bottom w:val="single" w:sz="6" w:space="0" w:color="E4F1FC"/>
              <w:right w:val="single" w:sz="6" w:space="0" w:color="E4F1FC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111758" w:rsidRPr="00111758" w:rsidRDefault="00111758" w:rsidP="00111758">
            <w:pPr>
              <w:numPr>
                <w:ilvl w:val="0"/>
                <w:numId w:val="2"/>
              </w:numPr>
              <w:spacing w:after="150" w:line="240" w:lineRule="auto"/>
              <w:ind w:left="0"/>
              <w:textAlignment w:val="baseline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Наличие бизнес-плана.</w:t>
            </w:r>
          </w:p>
          <w:p w:rsidR="00111758" w:rsidRPr="00111758" w:rsidRDefault="00111758" w:rsidP="00111758">
            <w:pPr>
              <w:numPr>
                <w:ilvl w:val="0"/>
                <w:numId w:val="2"/>
              </w:numPr>
              <w:spacing w:after="150" w:line="240" w:lineRule="auto"/>
              <w:ind w:left="0"/>
              <w:textAlignment w:val="baseline"/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</w:pPr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 xml:space="preserve">Оплата процентов производится единовременно в 100% объеме за весь период действия договора в срок не позднее 10 календарных дней со дня подписания договора </w:t>
            </w:r>
            <w:proofErr w:type="spellStart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111758">
              <w:rPr>
                <w:rFonts w:ascii="PT Sans" w:eastAsia="Times New Roman" w:hAnsi="PT Sans" w:cs="Times New Roman"/>
                <w:color w:val="231F20"/>
                <w:sz w:val="24"/>
                <w:szCs w:val="24"/>
                <w:lang w:eastAsia="ru-RU"/>
              </w:rPr>
              <w:t xml:space="preserve"> в сумме согласно графику.</w:t>
            </w:r>
          </w:p>
        </w:tc>
      </w:tr>
    </w:tbl>
    <w:p w:rsidR="00111758" w:rsidRPr="00111758" w:rsidRDefault="00111758" w:rsidP="00111758">
      <w:pPr>
        <w:spacing w:after="300" w:line="240" w:lineRule="auto"/>
        <w:textAlignment w:val="baseline"/>
        <w:rPr>
          <w:rFonts w:ascii="PT Sans" w:eastAsia="Times New Roman" w:hAnsi="PT Sans" w:cs="Arial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Arial"/>
          <w:color w:val="231F20"/>
          <w:sz w:val="24"/>
          <w:szCs w:val="24"/>
          <w:lang w:eastAsia="ru-RU"/>
        </w:rPr>
        <w:t xml:space="preserve">*до увеличения максимального размера до 5 000 000 (пяти) руб., </w:t>
      </w:r>
      <w:proofErr w:type="spellStart"/>
      <w:r w:rsidRPr="00111758">
        <w:rPr>
          <w:rFonts w:ascii="PT Sans" w:eastAsia="Times New Roman" w:hAnsi="PT Sans" w:cs="Arial"/>
          <w:color w:val="231F20"/>
          <w:sz w:val="24"/>
          <w:szCs w:val="24"/>
          <w:lang w:eastAsia="ru-RU"/>
        </w:rPr>
        <w:t>микрозаймы</w:t>
      </w:r>
      <w:proofErr w:type="spellEnd"/>
      <w:r w:rsidRPr="00111758">
        <w:rPr>
          <w:rFonts w:ascii="PT Sans" w:eastAsia="Times New Roman" w:hAnsi="PT Sans" w:cs="Arial"/>
          <w:color w:val="231F20"/>
          <w:sz w:val="24"/>
          <w:szCs w:val="24"/>
          <w:lang w:eastAsia="ru-RU"/>
        </w:rPr>
        <w:t xml:space="preserve"> будут выдаваться в сумме до 3 000 000 руб.</w:t>
      </w:r>
    </w:p>
    <w:p w:rsidR="00111758" w:rsidRPr="00111758" w:rsidRDefault="00111758" w:rsidP="00111758">
      <w:pPr>
        <w:spacing w:after="150" w:line="240" w:lineRule="auto"/>
        <w:textAlignment w:val="baseline"/>
        <w:rPr>
          <w:rFonts w:ascii="Cuprum" w:eastAsia="Times New Roman" w:hAnsi="Cuprum" w:cs="Times New Roman"/>
          <w:caps/>
          <w:color w:val="231F20"/>
          <w:sz w:val="30"/>
          <w:szCs w:val="30"/>
          <w:lang w:eastAsia="ru-RU"/>
        </w:rPr>
      </w:pPr>
      <w:r w:rsidRPr="00111758">
        <w:rPr>
          <w:rFonts w:ascii="Cuprum" w:eastAsia="Times New Roman" w:hAnsi="Cuprum" w:cs="Times New Roman"/>
          <w:caps/>
          <w:color w:val="231F20"/>
          <w:sz w:val="30"/>
          <w:szCs w:val="30"/>
          <w:lang w:eastAsia="ru-RU"/>
        </w:rPr>
        <w:t xml:space="preserve">МИКРОЗАЙМ ЯВЛЯЕТСЯ ЦЕЛЕВЫМ И ПРЕДОСТАВЛЯЕТСЯ В ЦЕЛЯХ ФИНАНСИРОВАНИЯ ИНВЕСТИЦИОННЫХ ЗАТРАТ, ПОСРЕДСТВОМ ПРЕДОСТАВЛЕНИЯ МИКРОЗАЙМА </w:t>
      </w:r>
      <w:proofErr w:type="gramStart"/>
      <w:r w:rsidRPr="00111758">
        <w:rPr>
          <w:rFonts w:ascii="Cuprum" w:eastAsia="Times New Roman" w:hAnsi="Cuprum" w:cs="Times New Roman"/>
          <w:caps/>
          <w:color w:val="231F20"/>
          <w:sz w:val="30"/>
          <w:szCs w:val="30"/>
          <w:lang w:eastAsia="ru-RU"/>
        </w:rPr>
        <w:t>НА</w:t>
      </w:r>
      <w:proofErr w:type="gramEnd"/>
      <w:r w:rsidRPr="00111758">
        <w:rPr>
          <w:rFonts w:ascii="Cuprum" w:eastAsia="Times New Roman" w:hAnsi="Cuprum" w:cs="Times New Roman"/>
          <w:caps/>
          <w:color w:val="231F20"/>
          <w:sz w:val="30"/>
          <w:szCs w:val="30"/>
          <w:lang w:eastAsia="ru-RU"/>
        </w:rPr>
        <w:t>:</w:t>
      </w:r>
    </w:p>
    <w:p w:rsidR="00111758" w:rsidRPr="00111758" w:rsidRDefault="00111758" w:rsidP="00111758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приобретение нового производственного, технологического, перерабатывающего оборудования, специальных приспособлений, станков (в том числе приобретение дополнительных единиц оборудования и/или отдельных узлов, элементов к эксплуатируемой технологической линии или производственному процессу, программное обеспечение к нему), спецтехники для использования в собственной производственной деятельности;</w:t>
      </w:r>
    </w:p>
    <w:p w:rsidR="00111758" w:rsidRPr="00111758" w:rsidRDefault="00111758" w:rsidP="00111758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lastRenderedPageBreak/>
        <w:t xml:space="preserve">оплату расходов на транспортировку, монтаж, пуско-наладку и ввод в эксплуатацию приобретаемого оборудования (в размере не более 10% от общей суммы </w:t>
      </w:r>
      <w:proofErr w:type="spellStart"/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микрозайма</w:t>
      </w:r>
      <w:proofErr w:type="spellEnd"/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);</w:t>
      </w:r>
    </w:p>
    <w:p w:rsidR="00111758" w:rsidRPr="00111758" w:rsidRDefault="00111758" w:rsidP="00111758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proofErr w:type="gramStart"/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 xml:space="preserve">на компенсацию подтвержденных расходов (договоры, счета-фактуры, платежные поручения), связанных с приобретением нового производственного, технологического, перерабатывающего оборудования, специальных приспособлений, станков (в том числе приобретение дополнительных единиц оборудования и/или отдельных узлов, элементов к эксплуатируемой технологической линии или производственному процессу, программное обеспечение к нему) для использования в собственной производственной деятельности, совершенных не ранее 6 месяцев на дату подачи Заявления на предоставление </w:t>
      </w:r>
      <w:proofErr w:type="spellStart"/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микрозайм</w:t>
      </w:r>
      <w:proofErr w:type="spellEnd"/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;</w:t>
      </w:r>
      <w:proofErr w:type="gramEnd"/>
    </w:p>
    <w:p w:rsidR="00111758" w:rsidRPr="00111758" w:rsidRDefault="00111758" w:rsidP="00111758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proofErr w:type="gramStart"/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 xml:space="preserve">выкуп (полный или частичный) производственного, технологического, перерабатывающего оборудования, специальных приспособлений, станков (в том числе приобретение дополнительных единиц оборудования и/или отдельных узлов, элементов к эксплуатируемой технологической линии или производственному процессу, программное обеспечение к нему) для использования в собственной производственной деятельности, приобретенных в лизинг сроком не ранее 6 месяцев от даты подачи Заявления на предоставление </w:t>
      </w:r>
      <w:proofErr w:type="spellStart"/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микрозайма</w:t>
      </w:r>
      <w:proofErr w:type="spellEnd"/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;</w:t>
      </w:r>
      <w:proofErr w:type="gramEnd"/>
    </w:p>
    <w:p w:rsidR="00111758" w:rsidRPr="00111758" w:rsidRDefault="00111758" w:rsidP="00111758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оплату прочих расходов, связанных с монтажом приобретенного оборудования, с обучением персонала обслуживающего оборудование, с приобретением необходимых сопутствующих комплектующих и т.д.</w:t>
      </w:r>
    </w:p>
    <w:p w:rsidR="00111758" w:rsidRPr="00111758" w:rsidRDefault="00111758" w:rsidP="00111758">
      <w:pPr>
        <w:spacing w:before="105" w:after="150" w:line="240" w:lineRule="auto"/>
        <w:textAlignment w:val="baseline"/>
        <w:rPr>
          <w:rFonts w:ascii="Cuprum" w:eastAsia="Times New Roman" w:hAnsi="Cuprum" w:cs="Times New Roman"/>
          <w:caps/>
          <w:color w:val="231F20"/>
          <w:sz w:val="30"/>
          <w:szCs w:val="30"/>
          <w:lang w:eastAsia="ru-RU"/>
        </w:rPr>
      </w:pPr>
      <w:r w:rsidRPr="00111758">
        <w:rPr>
          <w:rFonts w:ascii="Cuprum" w:eastAsia="Times New Roman" w:hAnsi="Cuprum" w:cs="Times New Roman"/>
          <w:caps/>
          <w:color w:val="231F20"/>
          <w:sz w:val="30"/>
          <w:szCs w:val="30"/>
          <w:lang w:eastAsia="ru-RU"/>
        </w:rPr>
        <w:t>ДЛЯ ПОДТВЕРЖДЕНИЯ ЦЕЛЕВОГО ИСПОЛЬЗОВАНИЯ ЗАЕМНЫХ СРЕДСТВ ПРЕДОСТАВЛЯЮТСЯ КОПИИ ДОКУМЕНТОВ, ЗАВЕРЕННЫЕ ЗАЕМЩИКОМ:</w:t>
      </w:r>
    </w:p>
    <w:p w:rsidR="00111758" w:rsidRPr="00111758" w:rsidRDefault="00111758" w:rsidP="00111758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договор (купли-продажи, поставки, оказания услуг и др.);</w:t>
      </w:r>
    </w:p>
    <w:p w:rsidR="00111758" w:rsidRPr="00111758" w:rsidRDefault="00111758" w:rsidP="00111758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счет на оплату;</w:t>
      </w:r>
    </w:p>
    <w:p w:rsidR="00111758" w:rsidRPr="00111758" w:rsidRDefault="00111758" w:rsidP="00111758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платежное поручение;</w:t>
      </w:r>
    </w:p>
    <w:p w:rsidR="00111758" w:rsidRPr="00111758" w:rsidRDefault="00111758" w:rsidP="00111758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кассовый чек;</w:t>
      </w:r>
    </w:p>
    <w:p w:rsidR="00111758" w:rsidRPr="00111758" w:rsidRDefault="00111758" w:rsidP="00111758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товарный чек;</w:t>
      </w:r>
    </w:p>
    <w:p w:rsidR="00111758" w:rsidRPr="00111758" w:rsidRDefault="00111758" w:rsidP="00111758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выписка по расчетному счету;</w:t>
      </w:r>
    </w:p>
    <w:p w:rsidR="00111758" w:rsidRPr="00111758" w:rsidRDefault="00111758" w:rsidP="00111758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счет-фактура;</w:t>
      </w:r>
    </w:p>
    <w:p w:rsidR="00111758" w:rsidRPr="00111758" w:rsidRDefault="00111758" w:rsidP="00111758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товарная накладная ОС-1 (Акт о приеме-передаче объекта основных средств);</w:t>
      </w:r>
    </w:p>
    <w:p w:rsidR="00111758" w:rsidRPr="00111758" w:rsidRDefault="00111758" w:rsidP="00111758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ОС-6 (Инвентарная карточка учета объекта основных средств);</w:t>
      </w:r>
    </w:p>
    <w:p w:rsidR="00111758" w:rsidRPr="00111758" w:rsidRDefault="00111758" w:rsidP="00111758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</w:pPr>
      <w:r w:rsidRPr="00111758">
        <w:rPr>
          <w:rFonts w:ascii="PT Sans" w:eastAsia="Times New Roman" w:hAnsi="PT Sans" w:cs="Times New Roman"/>
          <w:color w:val="231F20"/>
          <w:sz w:val="24"/>
          <w:szCs w:val="24"/>
          <w:lang w:eastAsia="ru-RU"/>
        </w:rPr>
        <w:t>М-4 (Приходный ордер) и иные документы.</w:t>
      </w:r>
    </w:p>
    <w:p w:rsidR="00100AD0" w:rsidRDefault="00100AD0"/>
    <w:sectPr w:rsidR="00100AD0" w:rsidSect="00111758">
      <w:pgSz w:w="16838" w:h="11906" w:orient="landscape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F69"/>
    <w:multiLevelType w:val="multilevel"/>
    <w:tmpl w:val="70B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E243C"/>
    <w:multiLevelType w:val="multilevel"/>
    <w:tmpl w:val="B2F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F043B"/>
    <w:multiLevelType w:val="multilevel"/>
    <w:tmpl w:val="EA30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F18EB"/>
    <w:multiLevelType w:val="multilevel"/>
    <w:tmpl w:val="5054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58"/>
    <w:rsid w:val="00100AD0"/>
    <w:rsid w:val="00111758"/>
    <w:rsid w:val="00FC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D0"/>
  </w:style>
  <w:style w:type="paragraph" w:styleId="1">
    <w:name w:val="heading 1"/>
    <w:basedOn w:val="a"/>
    <w:link w:val="10"/>
    <w:uiPriority w:val="9"/>
    <w:qFormat/>
    <w:rsid w:val="00111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itle">
    <w:name w:val="ptitle"/>
    <w:basedOn w:val="a"/>
    <w:rsid w:val="0011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60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фф</cp:lastModifiedBy>
  <cp:revision>2</cp:revision>
  <cp:lastPrinted>2018-06-26T11:25:00Z</cp:lastPrinted>
  <dcterms:created xsi:type="dcterms:W3CDTF">2018-06-26T11:18:00Z</dcterms:created>
  <dcterms:modified xsi:type="dcterms:W3CDTF">2018-06-26T11:27:00Z</dcterms:modified>
</cp:coreProperties>
</file>