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FF" w:rsidRDefault="00CA02FF" w:rsidP="004B36C3">
      <w:pPr>
        <w:jc w:val="right"/>
        <w:rPr>
          <w:sz w:val="28"/>
          <w:szCs w:val="28"/>
        </w:rPr>
      </w:pPr>
    </w:p>
    <w:p w:rsidR="00CA02FF" w:rsidRDefault="00CA02FF" w:rsidP="004B36C3">
      <w:pPr>
        <w:jc w:val="right"/>
        <w:rPr>
          <w:sz w:val="28"/>
          <w:szCs w:val="28"/>
        </w:rPr>
      </w:pPr>
    </w:p>
    <w:p w:rsidR="004B36C3" w:rsidRDefault="004B36C3" w:rsidP="004B36C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CA02FF">
        <w:rPr>
          <w:sz w:val="28"/>
          <w:szCs w:val="28"/>
        </w:rPr>
        <w:t xml:space="preserve"> </w:t>
      </w:r>
      <w:r w:rsidR="0071340C">
        <w:rPr>
          <w:sz w:val="28"/>
          <w:szCs w:val="28"/>
        </w:rPr>
        <w:t>8</w:t>
      </w:r>
    </w:p>
    <w:p w:rsidR="004B36C3" w:rsidRDefault="004B36C3" w:rsidP="004B36C3">
      <w:pPr>
        <w:spacing w:line="240" w:lineRule="exact"/>
        <w:jc w:val="center"/>
        <w:rPr>
          <w:sz w:val="28"/>
          <w:szCs w:val="28"/>
        </w:rPr>
      </w:pPr>
    </w:p>
    <w:p w:rsidR="00CA02FF" w:rsidRDefault="00B26BAB" w:rsidP="00CA02F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Анализ итогов </w:t>
      </w:r>
      <w:r w:rsidRPr="00B26BAB">
        <w:rPr>
          <w:sz w:val="28"/>
          <w:szCs w:val="28"/>
        </w:rPr>
        <w:t xml:space="preserve">опросов субъектов предпринимательской деятельности и потребителей товаров, работ и услуг о состоянии конкуренции </w:t>
      </w:r>
    </w:p>
    <w:p w:rsidR="004B36C3" w:rsidRPr="00B26BAB" w:rsidRDefault="00B26BAB" w:rsidP="00CA02FF">
      <w:pPr>
        <w:spacing w:line="240" w:lineRule="exact"/>
        <w:jc w:val="center"/>
        <w:rPr>
          <w:sz w:val="28"/>
          <w:szCs w:val="28"/>
        </w:rPr>
      </w:pPr>
      <w:r w:rsidRPr="00B26BAB">
        <w:rPr>
          <w:sz w:val="28"/>
          <w:szCs w:val="28"/>
        </w:rPr>
        <w:t>на товарных рынках Ставропольского края</w:t>
      </w:r>
    </w:p>
    <w:p w:rsidR="00D10BB0" w:rsidRPr="005E2536" w:rsidRDefault="00D10BB0" w:rsidP="00CA02FF">
      <w:pPr>
        <w:spacing w:line="240" w:lineRule="exact"/>
        <w:jc w:val="center"/>
        <w:rPr>
          <w:sz w:val="28"/>
          <w:szCs w:val="28"/>
          <w:u w:val="single"/>
        </w:rPr>
      </w:pPr>
      <w:r w:rsidRPr="005E2536">
        <w:rPr>
          <w:sz w:val="28"/>
          <w:szCs w:val="28"/>
          <w:u w:val="single"/>
        </w:rPr>
        <w:t xml:space="preserve">в </w:t>
      </w:r>
      <w:r w:rsidR="005E2536" w:rsidRPr="005E2536">
        <w:rPr>
          <w:sz w:val="28"/>
          <w:szCs w:val="28"/>
          <w:u w:val="single"/>
        </w:rPr>
        <w:t>Петровском городском округе</w:t>
      </w:r>
    </w:p>
    <w:p w:rsidR="004B36C3" w:rsidRDefault="004B36C3" w:rsidP="004B36C3">
      <w:pPr>
        <w:jc w:val="center"/>
        <w:rPr>
          <w:sz w:val="28"/>
          <w:szCs w:val="28"/>
        </w:rPr>
      </w:pPr>
    </w:p>
    <w:p w:rsidR="00063377" w:rsidRPr="00063377" w:rsidRDefault="00B26BAB" w:rsidP="00CA02FF">
      <w:pPr>
        <w:pStyle w:val="a7"/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063377">
        <w:rPr>
          <w:b/>
          <w:sz w:val="28"/>
          <w:szCs w:val="28"/>
        </w:rPr>
        <w:t xml:space="preserve">Анализ итогов опросов потребителей </w:t>
      </w:r>
    </w:p>
    <w:p w:rsidR="00611AA2" w:rsidRDefault="00B26BAB" w:rsidP="00CA02FF">
      <w:pPr>
        <w:pStyle w:val="a7"/>
        <w:ind w:left="0"/>
        <w:jc w:val="center"/>
        <w:rPr>
          <w:b/>
          <w:sz w:val="28"/>
          <w:szCs w:val="28"/>
        </w:rPr>
      </w:pPr>
      <w:r w:rsidRPr="00063377">
        <w:rPr>
          <w:b/>
          <w:sz w:val="28"/>
          <w:szCs w:val="28"/>
        </w:rPr>
        <w:t>товаров, работ и услуг.</w:t>
      </w:r>
    </w:p>
    <w:p w:rsidR="00063377" w:rsidRPr="00063377" w:rsidRDefault="00063377" w:rsidP="00063377">
      <w:pPr>
        <w:pStyle w:val="a7"/>
        <w:ind w:left="1080"/>
        <w:jc w:val="center"/>
        <w:rPr>
          <w:b/>
          <w:sz w:val="28"/>
          <w:szCs w:val="28"/>
        </w:rPr>
      </w:pPr>
    </w:p>
    <w:p w:rsidR="00063377" w:rsidRPr="008A7A3F" w:rsidRDefault="00063377" w:rsidP="00CA02FF">
      <w:pPr>
        <w:pStyle w:val="a7"/>
        <w:numPr>
          <w:ilvl w:val="0"/>
          <w:numId w:val="6"/>
        </w:numPr>
        <w:tabs>
          <w:tab w:val="left" w:pos="709"/>
        </w:tabs>
        <w:ind w:left="0" w:firstLine="0"/>
        <w:jc w:val="center"/>
        <w:rPr>
          <w:b/>
          <w:sz w:val="28"/>
          <w:szCs w:val="28"/>
        </w:rPr>
      </w:pPr>
      <w:r w:rsidRPr="00063377">
        <w:rPr>
          <w:b/>
          <w:sz w:val="28"/>
          <w:szCs w:val="28"/>
        </w:rPr>
        <w:t xml:space="preserve">Динамика количества опрошенных потребителей товаров, </w:t>
      </w:r>
      <w:r w:rsidRPr="008A7A3F">
        <w:rPr>
          <w:b/>
          <w:sz w:val="28"/>
          <w:szCs w:val="28"/>
        </w:rPr>
        <w:t>работ и услуг с учетом их пола, социального статуса, образования в сравнении с прошлым годом.</w:t>
      </w:r>
    </w:p>
    <w:p w:rsidR="00050C5A" w:rsidRPr="00063377" w:rsidRDefault="00050C5A" w:rsidP="00063377">
      <w:pPr>
        <w:pStyle w:val="a7"/>
        <w:ind w:left="1069"/>
        <w:jc w:val="center"/>
        <w:rPr>
          <w:b/>
          <w:sz w:val="28"/>
          <w:szCs w:val="28"/>
        </w:rPr>
      </w:pPr>
    </w:p>
    <w:p w:rsidR="00050C5A" w:rsidRDefault="00F65539" w:rsidP="00CA02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мониторинга </w:t>
      </w:r>
      <w:r w:rsidR="00CA02FF">
        <w:rPr>
          <w:sz w:val="28"/>
          <w:szCs w:val="28"/>
        </w:rPr>
        <w:t xml:space="preserve">состояния и развития конкурентной среды </w:t>
      </w:r>
      <w:r>
        <w:rPr>
          <w:sz w:val="28"/>
          <w:szCs w:val="28"/>
        </w:rPr>
        <w:t>удовлетворенности потребителей качеством товаров, работ и услуг на рынка</w:t>
      </w:r>
      <w:r w:rsidR="0071340C">
        <w:rPr>
          <w:sz w:val="28"/>
          <w:szCs w:val="28"/>
        </w:rPr>
        <w:t xml:space="preserve">х </w:t>
      </w:r>
      <w:r w:rsidR="00CA02FF">
        <w:rPr>
          <w:sz w:val="28"/>
          <w:szCs w:val="28"/>
        </w:rPr>
        <w:t xml:space="preserve"> товаров и услуг </w:t>
      </w:r>
      <w:r w:rsidR="0071340C">
        <w:rPr>
          <w:sz w:val="28"/>
          <w:szCs w:val="28"/>
        </w:rPr>
        <w:t>Петровского городского округа</w:t>
      </w:r>
      <w:r w:rsidR="002C75C4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, проведено ан</w:t>
      </w:r>
      <w:r w:rsidR="0071340C">
        <w:rPr>
          <w:sz w:val="28"/>
          <w:szCs w:val="28"/>
        </w:rPr>
        <w:t>кетирование с общей выборкой 365</w:t>
      </w:r>
      <w:r>
        <w:rPr>
          <w:sz w:val="28"/>
          <w:szCs w:val="28"/>
        </w:rPr>
        <w:t xml:space="preserve"> респондентов, что составля</w:t>
      </w:r>
      <w:r w:rsidR="00EA287A">
        <w:rPr>
          <w:sz w:val="28"/>
          <w:szCs w:val="28"/>
        </w:rPr>
        <w:t>ет 0,5</w:t>
      </w:r>
      <w:r>
        <w:rPr>
          <w:sz w:val="28"/>
          <w:szCs w:val="28"/>
        </w:rPr>
        <w:t xml:space="preserve">% от общей численности населения округа. </w:t>
      </w:r>
      <w:r w:rsidR="005E2536">
        <w:rPr>
          <w:sz w:val="28"/>
          <w:szCs w:val="28"/>
        </w:rPr>
        <w:t xml:space="preserve">По результатам проведенного анкетирования </w:t>
      </w:r>
      <w:r w:rsidR="005E2536" w:rsidRPr="00B26BAB">
        <w:rPr>
          <w:sz w:val="28"/>
          <w:szCs w:val="28"/>
        </w:rPr>
        <w:t>потребителей товаров, работ и услуг</w:t>
      </w:r>
      <w:r>
        <w:rPr>
          <w:sz w:val="28"/>
          <w:szCs w:val="28"/>
        </w:rPr>
        <w:t>,</w:t>
      </w:r>
      <w:r w:rsidR="005E2536">
        <w:rPr>
          <w:sz w:val="28"/>
          <w:szCs w:val="28"/>
        </w:rPr>
        <w:t xml:space="preserve"> наблюдается </w:t>
      </w:r>
      <w:r w:rsidR="001E698F">
        <w:rPr>
          <w:sz w:val="28"/>
          <w:szCs w:val="28"/>
        </w:rPr>
        <w:t>увеличение активности</w:t>
      </w:r>
      <w:r w:rsidR="005E2536">
        <w:rPr>
          <w:sz w:val="28"/>
          <w:szCs w:val="28"/>
        </w:rPr>
        <w:t xml:space="preserve"> при проведении опросов</w:t>
      </w:r>
      <w:r w:rsidR="00240A4D">
        <w:rPr>
          <w:sz w:val="28"/>
          <w:szCs w:val="28"/>
        </w:rPr>
        <w:t xml:space="preserve"> со стороны </w:t>
      </w:r>
      <w:r>
        <w:rPr>
          <w:sz w:val="28"/>
          <w:szCs w:val="28"/>
        </w:rPr>
        <w:t>респондентов</w:t>
      </w:r>
      <w:r w:rsidR="00CA02FF">
        <w:rPr>
          <w:sz w:val="28"/>
          <w:szCs w:val="28"/>
        </w:rPr>
        <w:t xml:space="preserve"> </w:t>
      </w:r>
      <w:r w:rsidR="004F1F6E">
        <w:rPr>
          <w:sz w:val="28"/>
          <w:szCs w:val="28"/>
        </w:rPr>
        <w:t>мужского</w:t>
      </w:r>
      <w:r w:rsidR="003B0AF3">
        <w:rPr>
          <w:sz w:val="28"/>
          <w:szCs w:val="28"/>
        </w:rPr>
        <w:t xml:space="preserve"> пола, что на </w:t>
      </w:r>
      <w:r w:rsidR="004F1F6E">
        <w:rPr>
          <w:sz w:val="28"/>
          <w:szCs w:val="28"/>
        </w:rPr>
        <w:t>2,7</w:t>
      </w:r>
      <w:r w:rsidR="003B0AF3">
        <w:rPr>
          <w:sz w:val="28"/>
          <w:szCs w:val="28"/>
        </w:rPr>
        <w:t xml:space="preserve">% больше </w:t>
      </w:r>
      <w:r w:rsidR="001E698F">
        <w:rPr>
          <w:sz w:val="28"/>
          <w:szCs w:val="28"/>
        </w:rPr>
        <w:t xml:space="preserve">проведенного опроса </w:t>
      </w:r>
      <w:r w:rsidR="003B0AF3">
        <w:rPr>
          <w:sz w:val="28"/>
          <w:szCs w:val="28"/>
        </w:rPr>
        <w:t>прошло</w:t>
      </w:r>
      <w:r w:rsidR="001E698F">
        <w:rPr>
          <w:sz w:val="28"/>
          <w:szCs w:val="28"/>
        </w:rPr>
        <w:t>го</w:t>
      </w:r>
      <w:r w:rsidR="003B0AF3">
        <w:rPr>
          <w:sz w:val="28"/>
          <w:szCs w:val="28"/>
        </w:rPr>
        <w:t xml:space="preserve"> год</w:t>
      </w:r>
      <w:r w:rsidR="001E698F">
        <w:rPr>
          <w:sz w:val="28"/>
          <w:szCs w:val="28"/>
        </w:rPr>
        <w:t xml:space="preserve">а и уменьшение активности </w:t>
      </w:r>
      <w:r w:rsidR="00F06332">
        <w:rPr>
          <w:sz w:val="28"/>
          <w:szCs w:val="28"/>
        </w:rPr>
        <w:t xml:space="preserve">опрошенных </w:t>
      </w:r>
      <w:r>
        <w:rPr>
          <w:sz w:val="28"/>
          <w:szCs w:val="28"/>
        </w:rPr>
        <w:t>респондентов</w:t>
      </w:r>
      <w:r w:rsidR="004F1F6E">
        <w:rPr>
          <w:sz w:val="28"/>
          <w:szCs w:val="28"/>
        </w:rPr>
        <w:t>женского</w:t>
      </w:r>
      <w:r w:rsidR="00F06332">
        <w:rPr>
          <w:sz w:val="28"/>
          <w:szCs w:val="28"/>
        </w:rPr>
        <w:t xml:space="preserve"> пола </w:t>
      </w:r>
      <w:r w:rsidR="004530F1">
        <w:rPr>
          <w:sz w:val="28"/>
          <w:szCs w:val="28"/>
        </w:rPr>
        <w:t>на 1,4%</w:t>
      </w:r>
      <w:r w:rsidR="00F06332">
        <w:rPr>
          <w:sz w:val="28"/>
          <w:szCs w:val="28"/>
        </w:rPr>
        <w:t>.</w:t>
      </w:r>
    </w:p>
    <w:p w:rsidR="00050C5A" w:rsidRPr="00050C5A" w:rsidRDefault="00213448" w:rsidP="00050C5A">
      <w:pPr>
        <w:keepNext/>
        <w:jc w:val="both"/>
      </w:pPr>
      <w:r>
        <w:rPr>
          <w:noProof/>
        </w:rPr>
        <w:drawing>
          <wp:inline distT="0" distB="0" distL="0" distR="0">
            <wp:extent cx="6191250" cy="3562350"/>
            <wp:effectExtent l="0" t="0" r="0" b="0"/>
            <wp:docPr id="10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E2536" w:rsidRPr="0078787A" w:rsidRDefault="00F06332" w:rsidP="00EC30C6">
      <w:pPr>
        <w:ind w:firstLine="709"/>
        <w:jc w:val="both"/>
        <w:rPr>
          <w:sz w:val="28"/>
          <w:szCs w:val="28"/>
        </w:rPr>
      </w:pPr>
      <w:r w:rsidRPr="0078787A">
        <w:rPr>
          <w:sz w:val="28"/>
          <w:szCs w:val="28"/>
        </w:rPr>
        <w:t xml:space="preserve">По социальному статусу </w:t>
      </w:r>
      <w:r w:rsidR="00CA02FF" w:rsidRPr="0078787A">
        <w:rPr>
          <w:sz w:val="28"/>
          <w:szCs w:val="28"/>
        </w:rPr>
        <w:t xml:space="preserve">большинство </w:t>
      </w:r>
      <w:r w:rsidR="008D35E2" w:rsidRPr="0078787A">
        <w:rPr>
          <w:sz w:val="28"/>
          <w:szCs w:val="28"/>
        </w:rPr>
        <w:t xml:space="preserve">опрошенных в Петровском городском округе </w:t>
      </w:r>
      <w:r w:rsidR="00CA02FF" w:rsidRPr="0078787A">
        <w:rPr>
          <w:sz w:val="28"/>
          <w:szCs w:val="28"/>
        </w:rPr>
        <w:t>являются работающими</w:t>
      </w:r>
      <w:r w:rsidR="004530F1" w:rsidRPr="0078787A">
        <w:rPr>
          <w:sz w:val="28"/>
          <w:szCs w:val="28"/>
        </w:rPr>
        <w:t xml:space="preserve"> – 67,9% (в 2019</w:t>
      </w:r>
      <w:r w:rsidR="00FF007F" w:rsidRPr="0078787A">
        <w:rPr>
          <w:sz w:val="28"/>
          <w:szCs w:val="28"/>
        </w:rPr>
        <w:t xml:space="preserve"> г. – </w:t>
      </w:r>
      <w:r w:rsidR="004530F1" w:rsidRPr="0078787A">
        <w:rPr>
          <w:sz w:val="28"/>
          <w:szCs w:val="28"/>
        </w:rPr>
        <w:t>70,8</w:t>
      </w:r>
      <w:r w:rsidR="00FF007F" w:rsidRPr="0078787A">
        <w:rPr>
          <w:sz w:val="28"/>
          <w:szCs w:val="28"/>
        </w:rPr>
        <w:t>%)</w:t>
      </w:r>
      <w:r w:rsidR="00CA02FF" w:rsidRPr="0078787A">
        <w:rPr>
          <w:sz w:val="28"/>
          <w:szCs w:val="28"/>
        </w:rPr>
        <w:t xml:space="preserve">. Среди опрошенных доля предпринимателей и </w:t>
      </w:r>
      <w:proofErr w:type="spellStart"/>
      <w:r w:rsidR="00CA02FF" w:rsidRPr="0078787A">
        <w:rPr>
          <w:sz w:val="28"/>
          <w:szCs w:val="28"/>
        </w:rPr>
        <w:t>самозанятых</w:t>
      </w:r>
      <w:proofErr w:type="spellEnd"/>
      <w:r w:rsidR="00CA02FF" w:rsidRPr="0078787A">
        <w:rPr>
          <w:sz w:val="28"/>
          <w:szCs w:val="28"/>
        </w:rPr>
        <w:t xml:space="preserve"> составила </w:t>
      </w:r>
      <w:r w:rsidR="002C75C4">
        <w:rPr>
          <w:sz w:val="28"/>
          <w:szCs w:val="28"/>
        </w:rPr>
        <w:t>24,1</w:t>
      </w:r>
      <w:r w:rsidR="00CA02FF" w:rsidRPr="0078787A">
        <w:rPr>
          <w:sz w:val="28"/>
          <w:szCs w:val="28"/>
        </w:rPr>
        <w:t xml:space="preserve">% (в 2019 г. – 2,2%), </w:t>
      </w:r>
      <w:r w:rsidR="00FF007F" w:rsidRPr="0078787A">
        <w:rPr>
          <w:sz w:val="28"/>
          <w:szCs w:val="28"/>
        </w:rPr>
        <w:t xml:space="preserve"> учащи</w:t>
      </w:r>
      <w:r w:rsidR="00367541">
        <w:rPr>
          <w:sz w:val="28"/>
          <w:szCs w:val="28"/>
        </w:rPr>
        <w:t>х</w:t>
      </w:r>
      <w:r w:rsidR="00FF007F" w:rsidRPr="0078787A">
        <w:rPr>
          <w:sz w:val="28"/>
          <w:szCs w:val="28"/>
        </w:rPr>
        <w:t>ся (студент</w:t>
      </w:r>
      <w:r w:rsidR="00367541">
        <w:rPr>
          <w:sz w:val="28"/>
          <w:szCs w:val="28"/>
        </w:rPr>
        <w:t>ов</w:t>
      </w:r>
      <w:r w:rsidR="00FF007F" w:rsidRPr="0078787A">
        <w:rPr>
          <w:sz w:val="28"/>
          <w:szCs w:val="28"/>
        </w:rPr>
        <w:t xml:space="preserve">) – </w:t>
      </w:r>
      <w:r w:rsidR="0078787A" w:rsidRPr="0078787A">
        <w:rPr>
          <w:sz w:val="28"/>
          <w:szCs w:val="28"/>
        </w:rPr>
        <w:t>5,8</w:t>
      </w:r>
      <w:r w:rsidR="00FF007F" w:rsidRPr="0078787A">
        <w:rPr>
          <w:sz w:val="28"/>
          <w:szCs w:val="28"/>
        </w:rPr>
        <w:t>% (в 201</w:t>
      </w:r>
      <w:r w:rsidR="004530F1" w:rsidRPr="0078787A">
        <w:rPr>
          <w:sz w:val="28"/>
          <w:szCs w:val="28"/>
        </w:rPr>
        <w:t xml:space="preserve">9 г. – </w:t>
      </w:r>
      <w:r w:rsidR="0078787A" w:rsidRPr="0078787A">
        <w:rPr>
          <w:sz w:val="28"/>
          <w:szCs w:val="28"/>
        </w:rPr>
        <w:t>7</w:t>
      </w:r>
      <w:r w:rsidR="004530F1" w:rsidRPr="0078787A">
        <w:rPr>
          <w:sz w:val="28"/>
          <w:szCs w:val="28"/>
        </w:rPr>
        <w:t>%)</w:t>
      </w:r>
      <w:r w:rsidR="00CA02FF" w:rsidRPr="0078787A">
        <w:rPr>
          <w:sz w:val="28"/>
          <w:szCs w:val="28"/>
        </w:rPr>
        <w:t>. Неработающие</w:t>
      </w:r>
      <w:r w:rsidR="002C75C4">
        <w:rPr>
          <w:sz w:val="28"/>
          <w:szCs w:val="28"/>
        </w:rPr>
        <w:t xml:space="preserve"> </w:t>
      </w:r>
      <w:r w:rsidR="00CA02FF" w:rsidRPr="0078787A">
        <w:rPr>
          <w:sz w:val="28"/>
          <w:szCs w:val="28"/>
        </w:rPr>
        <w:t xml:space="preserve">(в том числе </w:t>
      </w:r>
      <w:r w:rsidR="004530F1" w:rsidRPr="0078787A">
        <w:rPr>
          <w:sz w:val="28"/>
          <w:szCs w:val="28"/>
        </w:rPr>
        <w:t xml:space="preserve">пенсионеры </w:t>
      </w:r>
      <w:r w:rsidR="00CA02FF" w:rsidRPr="0078787A">
        <w:rPr>
          <w:sz w:val="28"/>
          <w:szCs w:val="28"/>
        </w:rPr>
        <w:t xml:space="preserve">и домохозяйки, временно неработающие) составили </w:t>
      </w:r>
      <w:r w:rsidR="004530F1" w:rsidRPr="0078787A">
        <w:rPr>
          <w:sz w:val="28"/>
          <w:szCs w:val="28"/>
        </w:rPr>
        <w:t xml:space="preserve"> </w:t>
      </w:r>
      <w:r w:rsidR="0078787A" w:rsidRPr="0078787A">
        <w:rPr>
          <w:sz w:val="28"/>
          <w:szCs w:val="28"/>
        </w:rPr>
        <w:t>2,2</w:t>
      </w:r>
      <w:r w:rsidR="004530F1" w:rsidRPr="0078787A">
        <w:rPr>
          <w:sz w:val="28"/>
          <w:szCs w:val="28"/>
        </w:rPr>
        <w:t>% (в 2019</w:t>
      </w:r>
      <w:r w:rsidR="00FF007F" w:rsidRPr="0078787A">
        <w:rPr>
          <w:sz w:val="28"/>
          <w:szCs w:val="28"/>
        </w:rPr>
        <w:t xml:space="preserve"> г. – </w:t>
      </w:r>
      <w:r w:rsidR="0078787A" w:rsidRPr="0078787A">
        <w:rPr>
          <w:sz w:val="28"/>
          <w:szCs w:val="28"/>
        </w:rPr>
        <w:t>20,1</w:t>
      </w:r>
      <w:r w:rsidR="00FF007F" w:rsidRPr="0078787A">
        <w:rPr>
          <w:sz w:val="28"/>
          <w:szCs w:val="28"/>
        </w:rPr>
        <w:t>%)</w:t>
      </w:r>
      <w:r w:rsidR="004530F1" w:rsidRPr="0078787A">
        <w:rPr>
          <w:sz w:val="28"/>
          <w:szCs w:val="28"/>
        </w:rPr>
        <w:t>.</w:t>
      </w:r>
    </w:p>
    <w:p w:rsidR="00FC6277" w:rsidRDefault="00B727EE" w:rsidP="00FC6277">
      <w:pPr>
        <w:jc w:val="both"/>
        <w:rPr>
          <w:sz w:val="28"/>
          <w:szCs w:val="28"/>
        </w:rPr>
      </w:pPr>
      <w:r w:rsidRPr="00B727EE">
        <w:rPr>
          <w:noProof/>
          <w:sz w:val="28"/>
          <w:szCs w:val="28"/>
        </w:rPr>
        <w:lastRenderedPageBreak/>
        <w:drawing>
          <wp:inline distT="0" distB="0" distL="0" distR="0">
            <wp:extent cx="6071199" cy="2518913"/>
            <wp:effectExtent l="0" t="0" r="0" b="0"/>
            <wp:docPr id="1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F6A57" w:rsidRDefault="0056779D" w:rsidP="00DA316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 </w:t>
      </w:r>
      <w:r w:rsidR="00110C99">
        <w:rPr>
          <w:sz w:val="28"/>
          <w:szCs w:val="28"/>
        </w:rPr>
        <w:t xml:space="preserve">общего </w:t>
      </w:r>
      <w:r>
        <w:rPr>
          <w:sz w:val="28"/>
          <w:szCs w:val="28"/>
        </w:rPr>
        <w:t>числа</w:t>
      </w:r>
      <w:r w:rsidR="00982877">
        <w:rPr>
          <w:sz w:val="28"/>
          <w:szCs w:val="28"/>
        </w:rPr>
        <w:t xml:space="preserve"> </w:t>
      </w:r>
      <w:r w:rsidR="002C75C4">
        <w:rPr>
          <w:sz w:val="28"/>
          <w:szCs w:val="28"/>
        </w:rPr>
        <w:t xml:space="preserve">респондентов по уровню образования: </w:t>
      </w:r>
      <w:r w:rsidR="001E7117">
        <w:rPr>
          <w:sz w:val="28"/>
          <w:szCs w:val="28"/>
        </w:rPr>
        <w:t>71,5</w:t>
      </w:r>
      <w:r>
        <w:rPr>
          <w:sz w:val="28"/>
          <w:szCs w:val="28"/>
        </w:rPr>
        <w:t>% им</w:t>
      </w:r>
      <w:r w:rsidR="001E7117">
        <w:rPr>
          <w:sz w:val="28"/>
          <w:szCs w:val="28"/>
        </w:rPr>
        <w:t>еют высшее образование, что на 29,5</w:t>
      </w:r>
      <w:r>
        <w:rPr>
          <w:sz w:val="28"/>
          <w:szCs w:val="28"/>
        </w:rPr>
        <w:t xml:space="preserve">% больше по сравнению с прошлым годом, </w:t>
      </w:r>
      <w:r w:rsidR="00FF23B6" w:rsidRPr="00063377">
        <w:rPr>
          <w:sz w:val="28"/>
          <w:szCs w:val="28"/>
        </w:rPr>
        <w:t xml:space="preserve">а имеющих </w:t>
      </w:r>
      <w:r w:rsidR="00063377" w:rsidRPr="00063377">
        <w:rPr>
          <w:sz w:val="28"/>
          <w:szCs w:val="28"/>
        </w:rPr>
        <w:t>среднее специальное образование</w:t>
      </w:r>
      <w:r w:rsidR="002C1A8B">
        <w:rPr>
          <w:sz w:val="28"/>
          <w:szCs w:val="28"/>
        </w:rPr>
        <w:t xml:space="preserve"> уменьшилось на 19,1%</w:t>
      </w:r>
      <w:r w:rsidR="00063377" w:rsidRPr="00063377">
        <w:rPr>
          <w:sz w:val="28"/>
          <w:szCs w:val="28"/>
        </w:rPr>
        <w:t xml:space="preserve"> </w:t>
      </w:r>
      <w:r w:rsidR="002C1A8B">
        <w:rPr>
          <w:sz w:val="28"/>
          <w:szCs w:val="28"/>
        </w:rPr>
        <w:t xml:space="preserve"> и составило 22,7% (в 2019 году – 41,8%)</w:t>
      </w:r>
      <w:r w:rsidR="00FF23B6" w:rsidRPr="00063377">
        <w:rPr>
          <w:sz w:val="28"/>
          <w:szCs w:val="28"/>
        </w:rPr>
        <w:t>,</w:t>
      </w:r>
      <w:r w:rsidR="00063377">
        <w:rPr>
          <w:sz w:val="28"/>
          <w:szCs w:val="28"/>
        </w:rPr>
        <w:t xml:space="preserve"> в то время как число </w:t>
      </w:r>
      <w:r w:rsidR="00063377" w:rsidRPr="00063377">
        <w:rPr>
          <w:sz w:val="28"/>
          <w:szCs w:val="28"/>
        </w:rPr>
        <w:t>респондентов</w:t>
      </w:r>
      <w:r w:rsidR="00FF23B6" w:rsidRPr="00063377">
        <w:rPr>
          <w:sz w:val="28"/>
          <w:szCs w:val="28"/>
        </w:rPr>
        <w:t xml:space="preserve"> и</w:t>
      </w:r>
      <w:r w:rsidR="00063377">
        <w:rPr>
          <w:sz w:val="28"/>
          <w:szCs w:val="28"/>
        </w:rPr>
        <w:t>меющих</w:t>
      </w:r>
      <w:r w:rsidR="00FF23B6" w:rsidRPr="00063377">
        <w:rPr>
          <w:sz w:val="28"/>
          <w:szCs w:val="28"/>
        </w:rPr>
        <w:t xml:space="preserve"> общее среднее образование в среднем уменьшилось </w:t>
      </w:r>
      <w:r w:rsidR="002C1A8B">
        <w:rPr>
          <w:sz w:val="28"/>
          <w:szCs w:val="28"/>
        </w:rPr>
        <w:t>почти в 3</w:t>
      </w:r>
      <w:r w:rsidR="00063377">
        <w:rPr>
          <w:sz w:val="28"/>
          <w:szCs w:val="28"/>
        </w:rPr>
        <w:t xml:space="preserve"> раза.</w:t>
      </w:r>
      <w:proofErr w:type="gramEnd"/>
    </w:p>
    <w:p w:rsidR="00023C51" w:rsidRDefault="00DD67DE" w:rsidP="000151D2">
      <w:pPr>
        <w:ind w:firstLine="142"/>
        <w:jc w:val="both"/>
        <w:rPr>
          <w:sz w:val="28"/>
          <w:szCs w:val="28"/>
        </w:rPr>
      </w:pPr>
      <w:r w:rsidRPr="00DD67DE">
        <w:rPr>
          <w:noProof/>
          <w:sz w:val="28"/>
          <w:szCs w:val="28"/>
        </w:rPr>
        <w:drawing>
          <wp:inline distT="0" distB="0" distL="0" distR="0">
            <wp:extent cx="5786527" cy="1889185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507E0" w:rsidRDefault="00A07BF0" w:rsidP="00637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социально-демографические характеристики </w:t>
      </w:r>
      <w:r w:rsidR="00530773">
        <w:rPr>
          <w:sz w:val="28"/>
          <w:szCs w:val="28"/>
        </w:rPr>
        <w:t>респондентов принявших участие в опросе приведены в таблице №1.</w:t>
      </w:r>
    </w:p>
    <w:p w:rsidR="00530773" w:rsidRPr="00530773" w:rsidRDefault="00530773" w:rsidP="00530773">
      <w:pPr>
        <w:ind w:firstLine="709"/>
        <w:jc w:val="center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0773">
        <w:rPr>
          <w:sz w:val="20"/>
          <w:szCs w:val="20"/>
        </w:rPr>
        <w:t>Таблица №1</w:t>
      </w:r>
    </w:p>
    <w:tbl>
      <w:tblPr>
        <w:tblW w:w="7740" w:type="dxa"/>
        <w:tblInd w:w="96" w:type="dxa"/>
        <w:tblLook w:val="04A0"/>
      </w:tblPr>
      <w:tblGrid>
        <w:gridCol w:w="5824"/>
        <w:gridCol w:w="960"/>
        <w:gridCol w:w="948"/>
        <w:gridCol w:w="8"/>
      </w:tblGrid>
      <w:tr w:rsidR="005167EB" w:rsidRPr="00A07BF0" w:rsidTr="00F90C62">
        <w:trPr>
          <w:trHeight w:val="139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EB" w:rsidRPr="00A07BF0" w:rsidRDefault="005167EB" w:rsidP="00A07BF0">
            <w:pPr>
              <w:rPr>
                <w:color w:val="000000"/>
                <w:sz w:val="22"/>
                <w:szCs w:val="22"/>
              </w:rPr>
            </w:pPr>
            <w:r w:rsidRPr="00A07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167EB" w:rsidRPr="00A07BF0" w:rsidRDefault="005167EB" w:rsidP="005167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BF0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167EB" w:rsidRPr="00A07BF0" w:rsidRDefault="005167EB" w:rsidP="00EA28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5167EB" w:rsidRPr="00A07BF0" w:rsidTr="00F90C62">
        <w:trPr>
          <w:trHeight w:val="22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EB" w:rsidRPr="00A07BF0" w:rsidRDefault="005167EB" w:rsidP="00A07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BF0">
              <w:rPr>
                <w:b/>
                <w:bCs/>
                <w:color w:val="000000"/>
                <w:sz w:val="20"/>
                <w:szCs w:val="20"/>
              </w:rPr>
              <w:t>ОБЩЕЕ КОЛИЧЕСТВО ОПРОШЕННЫХ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67EB" w:rsidRPr="00A07BF0" w:rsidRDefault="005167EB" w:rsidP="005167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BF0">
              <w:rPr>
                <w:b/>
                <w:bCs/>
                <w:color w:val="000000"/>
                <w:sz w:val="22"/>
                <w:szCs w:val="22"/>
              </w:rPr>
              <w:t>359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167EB" w:rsidRPr="00A07BF0" w:rsidRDefault="005167EB" w:rsidP="00EA28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365</w:t>
            </w:r>
          </w:p>
        </w:tc>
      </w:tr>
      <w:tr w:rsidR="00EA287A" w:rsidRPr="00A07BF0" w:rsidTr="00F90C62">
        <w:trPr>
          <w:gridAfter w:val="1"/>
          <w:wAfter w:w="8" w:type="dxa"/>
          <w:trHeight w:val="247"/>
        </w:trPr>
        <w:tc>
          <w:tcPr>
            <w:tcW w:w="7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87A" w:rsidRPr="00A07BF0" w:rsidRDefault="00EA287A" w:rsidP="00A07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BF0">
              <w:rPr>
                <w:b/>
                <w:bCs/>
                <w:color w:val="000000"/>
                <w:sz w:val="20"/>
                <w:szCs w:val="20"/>
              </w:rPr>
              <w:t>КОЛИЧЕСТВО ОПРОШЕННЫХ:</w:t>
            </w:r>
          </w:p>
        </w:tc>
      </w:tr>
      <w:tr w:rsidR="005167EB" w:rsidRPr="00A07BF0" w:rsidTr="00F90C62">
        <w:trPr>
          <w:trHeight w:val="24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EB" w:rsidRPr="00A07BF0" w:rsidRDefault="005167EB" w:rsidP="00A07BF0">
            <w:pPr>
              <w:rPr>
                <w:color w:val="000000"/>
              </w:rPr>
            </w:pPr>
            <w:r w:rsidRPr="00A07BF0">
              <w:rPr>
                <w:color w:val="000000"/>
              </w:rPr>
              <w:t>Мужского пола</w:t>
            </w:r>
            <w:proofErr w:type="gramStart"/>
            <w:r w:rsidRPr="00A07B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 xml:space="preserve">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67EB" w:rsidRPr="00A07BF0" w:rsidRDefault="005167EB" w:rsidP="005167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BF0">
              <w:rPr>
                <w:b/>
                <w:bCs/>
                <w:color w:val="000000"/>
                <w:sz w:val="22"/>
                <w:szCs w:val="22"/>
              </w:rPr>
              <w:t>23,9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167EB" w:rsidRPr="00A07BF0" w:rsidRDefault="005167EB" w:rsidP="00EA28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26,</w:t>
            </w:r>
            <w:r w:rsidR="00486F2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5167EB" w:rsidRPr="00A07BF0" w:rsidTr="00F90C62">
        <w:trPr>
          <w:trHeight w:val="247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EB" w:rsidRPr="00A07BF0" w:rsidRDefault="005167EB" w:rsidP="00A07BF0">
            <w:pPr>
              <w:rPr>
                <w:color w:val="000000"/>
              </w:rPr>
            </w:pPr>
            <w:r w:rsidRPr="00A07BF0">
              <w:rPr>
                <w:color w:val="000000"/>
              </w:rPr>
              <w:t>Женского пола</w:t>
            </w:r>
            <w:r>
              <w:rPr>
                <w:color w:val="000000"/>
              </w:rPr>
              <w:t>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67EB" w:rsidRPr="00A07BF0" w:rsidRDefault="005167EB" w:rsidP="005167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BF0">
              <w:rPr>
                <w:b/>
                <w:bCs/>
                <w:color w:val="000000"/>
                <w:sz w:val="22"/>
                <w:szCs w:val="22"/>
              </w:rPr>
              <w:t>76,1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167EB" w:rsidRPr="00A07BF0" w:rsidRDefault="005167EB" w:rsidP="00EA28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73,4</w:t>
            </w:r>
          </w:p>
        </w:tc>
      </w:tr>
      <w:tr w:rsidR="00EA287A" w:rsidRPr="00A07BF0" w:rsidTr="00F90C62">
        <w:trPr>
          <w:gridAfter w:val="1"/>
          <w:wAfter w:w="8" w:type="dxa"/>
          <w:trHeight w:val="174"/>
        </w:trPr>
        <w:tc>
          <w:tcPr>
            <w:tcW w:w="7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87A" w:rsidRPr="00A07BF0" w:rsidRDefault="00EA287A" w:rsidP="00A07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BF0">
              <w:rPr>
                <w:b/>
                <w:bCs/>
                <w:color w:val="000000"/>
                <w:sz w:val="20"/>
                <w:szCs w:val="20"/>
              </w:rPr>
              <w:t>КОЛИЧЕСТВО ОПРОШЕННЫХ, ИМЕЮЩИХ СОЦИАЛЬНЫЙ СТАТУС:</w:t>
            </w:r>
          </w:p>
        </w:tc>
      </w:tr>
      <w:tr w:rsidR="005167EB" w:rsidRPr="00A07BF0" w:rsidTr="00F90C62">
        <w:trPr>
          <w:trHeight w:val="19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EB" w:rsidRPr="00A07BF0" w:rsidRDefault="005167EB" w:rsidP="00A07BF0">
            <w:pPr>
              <w:rPr>
                <w:color w:val="000000"/>
              </w:rPr>
            </w:pPr>
            <w:r w:rsidRPr="00A07BF0">
              <w:rPr>
                <w:color w:val="000000"/>
              </w:rPr>
              <w:t>Работающий</w:t>
            </w:r>
            <w:proofErr w:type="gramStart"/>
            <w:r w:rsidRPr="00A07B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 xml:space="preserve">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67EB" w:rsidRPr="00A07BF0" w:rsidRDefault="005167EB" w:rsidP="005167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BF0">
              <w:rPr>
                <w:b/>
                <w:bCs/>
                <w:color w:val="000000"/>
                <w:sz w:val="22"/>
                <w:szCs w:val="22"/>
              </w:rPr>
              <w:t>70,8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167EB" w:rsidRPr="00A07BF0" w:rsidRDefault="005167EB" w:rsidP="00EA28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67,9</w:t>
            </w:r>
          </w:p>
        </w:tc>
      </w:tr>
      <w:tr w:rsidR="005167EB" w:rsidRPr="00A07BF0" w:rsidTr="00F90C62">
        <w:trPr>
          <w:trHeight w:val="28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EB" w:rsidRPr="00A07BF0" w:rsidRDefault="005167EB" w:rsidP="00A07BF0">
            <w:pPr>
              <w:rPr>
                <w:color w:val="000000"/>
              </w:rPr>
            </w:pPr>
            <w:r w:rsidRPr="00A07BF0">
              <w:rPr>
                <w:color w:val="000000"/>
              </w:rPr>
              <w:t>Безработный</w:t>
            </w:r>
            <w:r>
              <w:rPr>
                <w:color w:val="000000"/>
              </w:rPr>
              <w:t>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67EB" w:rsidRPr="00A07BF0" w:rsidRDefault="005167EB" w:rsidP="005167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BF0">
              <w:rPr>
                <w:b/>
                <w:bCs/>
                <w:color w:val="000000"/>
                <w:sz w:val="22"/>
                <w:szCs w:val="22"/>
              </w:rPr>
              <w:t>11,7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167EB" w:rsidRPr="00A07BF0" w:rsidRDefault="00D54846" w:rsidP="00EA28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167EB" w:rsidRPr="00A07BF0" w:rsidTr="00F90C62">
        <w:trPr>
          <w:trHeight w:val="237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EB" w:rsidRPr="00A07BF0" w:rsidRDefault="005167EB" w:rsidP="00A07BF0">
            <w:pPr>
              <w:rPr>
                <w:color w:val="000000"/>
              </w:rPr>
            </w:pPr>
            <w:r w:rsidRPr="00A07BF0">
              <w:rPr>
                <w:color w:val="000000"/>
              </w:rPr>
              <w:t>Временно не работающий</w:t>
            </w:r>
            <w:r>
              <w:rPr>
                <w:color w:val="000000"/>
              </w:rPr>
              <w:t>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67EB" w:rsidRPr="00A07BF0" w:rsidRDefault="005167EB" w:rsidP="005167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BF0">
              <w:rPr>
                <w:b/>
                <w:bCs/>
                <w:color w:val="000000"/>
                <w:sz w:val="22"/>
                <w:szCs w:val="22"/>
              </w:rPr>
              <w:t>5,6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167EB" w:rsidRPr="00A07BF0" w:rsidRDefault="00DA3B07" w:rsidP="00EA28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5167EB" w:rsidRPr="00A07BF0" w:rsidTr="00F90C62">
        <w:trPr>
          <w:trHeight w:val="203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EB" w:rsidRPr="00A07BF0" w:rsidRDefault="005167EB" w:rsidP="00A07BF0">
            <w:pPr>
              <w:rPr>
                <w:color w:val="000000"/>
              </w:rPr>
            </w:pPr>
            <w:r w:rsidRPr="00A07BF0">
              <w:rPr>
                <w:color w:val="000000"/>
              </w:rPr>
              <w:t>Учащийся/студент</w:t>
            </w:r>
            <w:proofErr w:type="gramStart"/>
            <w:r w:rsidRPr="00A07B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 xml:space="preserve">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67EB" w:rsidRPr="00A07BF0" w:rsidRDefault="005167EB" w:rsidP="005167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BF0">
              <w:rPr>
                <w:b/>
                <w:bCs/>
                <w:color w:val="000000"/>
                <w:sz w:val="22"/>
                <w:szCs w:val="22"/>
              </w:rPr>
              <w:t>6,9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167EB" w:rsidRPr="00A07BF0" w:rsidRDefault="00D54846" w:rsidP="00EA28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5,7</w:t>
            </w:r>
          </w:p>
        </w:tc>
      </w:tr>
      <w:tr w:rsidR="00D54846" w:rsidRPr="00A07BF0" w:rsidTr="00F90C62">
        <w:trPr>
          <w:trHeight w:val="297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46" w:rsidRPr="00A07BF0" w:rsidRDefault="00D54846" w:rsidP="00A07BF0">
            <w:pPr>
              <w:rPr>
                <w:color w:val="000000"/>
              </w:rPr>
            </w:pPr>
            <w:r>
              <w:rPr>
                <w:color w:val="000000"/>
              </w:rPr>
              <w:t>Домохозяйка</w:t>
            </w:r>
            <w:r w:rsidR="00DA3B07">
              <w:rPr>
                <w:color w:val="000000"/>
              </w:rPr>
              <w:t xml:space="preserve"> (домохозяин),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4846" w:rsidRPr="00A07BF0" w:rsidRDefault="00DA3B07" w:rsidP="005167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54846" w:rsidRPr="00A07BF0" w:rsidRDefault="00DA3B07" w:rsidP="00EA28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0,8</w:t>
            </w:r>
          </w:p>
        </w:tc>
      </w:tr>
      <w:tr w:rsidR="005167EB" w:rsidRPr="00A07BF0" w:rsidTr="00F90C62">
        <w:trPr>
          <w:trHeight w:val="297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EB" w:rsidRPr="00A07BF0" w:rsidRDefault="005167EB" w:rsidP="00A07BF0">
            <w:pPr>
              <w:rPr>
                <w:color w:val="000000"/>
              </w:rPr>
            </w:pPr>
            <w:r w:rsidRPr="00A07BF0">
              <w:rPr>
                <w:color w:val="000000"/>
              </w:rPr>
              <w:t>Самозанятый</w:t>
            </w:r>
            <w:r>
              <w:rPr>
                <w:color w:val="000000"/>
              </w:rPr>
              <w:t>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67EB" w:rsidRPr="00A07BF0" w:rsidRDefault="005167EB" w:rsidP="005167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BF0">
              <w:rPr>
                <w:b/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167EB" w:rsidRPr="00A07BF0" w:rsidRDefault="00DA3B07" w:rsidP="00EA28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0,8</w:t>
            </w:r>
          </w:p>
        </w:tc>
      </w:tr>
      <w:tr w:rsidR="005167EB" w:rsidRPr="00A07BF0" w:rsidTr="00F90C62">
        <w:trPr>
          <w:trHeight w:val="249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EB" w:rsidRPr="00A07BF0" w:rsidRDefault="005167EB" w:rsidP="00A07BF0">
            <w:pPr>
              <w:rPr>
                <w:color w:val="000000"/>
              </w:rPr>
            </w:pPr>
            <w:r>
              <w:rPr>
                <w:color w:val="000000"/>
              </w:rPr>
              <w:t>Пенсионер,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67EB" w:rsidRPr="00A07BF0" w:rsidRDefault="005167EB" w:rsidP="005167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BF0">
              <w:rPr>
                <w:b/>
                <w:bCs/>
                <w:color w:val="000000"/>
                <w:sz w:val="22"/>
                <w:szCs w:val="22"/>
              </w:rPr>
              <w:t>2,8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167EB" w:rsidRPr="00A07BF0" w:rsidRDefault="00DA3B07" w:rsidP="00EA28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</w:t>
            </w:r>
            <w:r w:rsidR="00486F2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EA287A" w:rsidRPr="00A07BF0" w:rsidTr="00F90C62">
        <w:trPr>
          <w:gridAfter w:val="1"/>
          <w:wAfter w:w="8" w:type="dxa"/>
          <w:trHeight w:val="161"/>
        </w:trPr>
        <w:tc>
          <w:tcPr>
            <w:tcW w:w="7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87A" w:rsidRPr="00A07BF0" w:rsidRDefault="00EA287A" w:rsidP="00A07B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BF0">
              <w:rPr>
                <w:b/>
                <w:bCs/>
                <w:color w:val="000000"/>
                <w:sz w:val="20"/>
                <w:szCs w:val="20"/>
              </w:rPr>
              <w:t>КОЛИЧЕСТВО ОПРОШЕННЫХ, ИМЕЮЩИХ ОБРАЗОВАНИЕ:</w:t>
            </w:r>
          </w:p>
        </w:tc>
      </w:tr>
      <w:tr w:rsidR="00DA3B07" w:rsidRPr="00A07BF0" w:rsidTr="00F90C62">
        <w:trPr>
          <w:trHeight w:val="219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B07" w:rsidRPr="00A07BF0" w:rsidRDefault="00DA3B07" w:rsidP="00A07BF0">
            <w:pPr>
              <w:rPr>
                <w:color w:val="000000"/>
              </w:rPr>
            </w:pPr>
            <w:r>
              <w:rPr>
                <w:color w:val="000000"/>
              </w:rPr>
              <w:t>Основное общее,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A3B07" w:rsidRPr="00A07BF0" w:rsidRDefault="00DA3B07" w:rsidP="005167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A3B07" w:rsidRPr="00A07BF0" w:rsidRDefault="00DA3B07" w:rsidP="00EA28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2,5</w:t>
            </w:r>
          </w:p>
        </w:tc>
      </w:tr>
      <w:tr w:rsidR="005167EB" w:rsidRPr="00A07BF0" w:rsidTr="00F90C62">
        <w:trPr>
          <w:trHeight w:val="219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EB" w:rsidRPr="00A07BF0" w:rsidRDefault="005167EB" w:rsidP="00A07BF0">
            <w:pPr>
              <w:rPr>
                <w:color w:val="000000"/>
              </w:rPr>
            </w:pPr>
            <w:r w:rsidRPr="00A07BF0">
              <w:rPr>
                <w:color w:val="000000"/>
              </w:rPr>
              <w:t>Общее среднее</w:t>
            </w:r>
            <w:proofErr w:type="gramStart"/>
            <w:r w:rsidRPr="00A07B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 xml:space="preserve">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67EB" w:rsidRPr="00A07BF0" w:rsidRDefault="005167EB" w:rsidP="005167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BF0">
              <w:rPr>
                <w:b/>
                <w:bCs/>
                <w:color w:val="000000"/>
                <w:sz w:val="22"/>
                <w:szCs w:val="22"/>
              </w:rPr>
              <w:t>16,2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167EB" w:rsidRPr="00A07BF0" w:rsidRDefault="00DA3B07" w:rsidP="00EA28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3,3</w:t>
            </w:r>
          </w:p>
        </w:tc>
      </w:tr>
      <w:tr w:rsidR="005167EB" w:rsidRPr="00A07BF0" w:rsidTr="00F90C62">
        <w:trPr>
          <w:trHeight w:val="313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EB" w:rsidRPr="00A07BF0" w:rsidRDefault="005167EB" w:rsidP="00A07BF0">
            <w:pPr>
              <w:rPr>
                <w:color w:val="000000"/>
              </w:rPr>
            </w:pPr>
            <w:r w:rsidRPr="00A07BF0">
              <w:rPr>
                <w:color w:val="000000"/>
              </w:rPr>
              <w:t>Среднее специальное</w:t>
            </w:r>
            <w:r>
              <w:rPr>
                <w:color w:val="000000"/>
              </w:rPr>
              <w:t>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67EB" w:rsidRPr="00A07BF0" w:rsidRDefault="005167EB" w:rsidP="005167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BF0">
              <w:rPr>
                <w:b/>
                <w:bCs/>
                <w:color w:val="000000"/>
                <w:sz w:val="22"/>
                <w:szCs w:val="22"/>
              </w:rPr>
              <w:t>27,6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167EB" w:rsidRPr="00A07BF0" w:rsidRDefault="00DA3B07" w:rsidP="00EA28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22,7</w:t>
            </w:r>
          </w:p>
        </w:tc>
      </w:tr>
      <w:tr w:rsidR="005167EB" w:rsidRPr="00A07BF0" w:rsidTr="00F90C62">
        <w:trPr>
          <w:trHeight w:val="27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EB" w:rsidRPr="00A07BF0" w:rsidRDefault="005167EB" w:rsidP="00A07BF0">
            <w:pPr>
              <w:rPr>
                <w:color w:val="000000"/>
              </w:rPr>
            </w:pPr>
            <w:r w:rsidRPr="00A07BF0">
              <w:rPr>
                <w:color w:val="000000"/>
              </w:rPr>
              <w:t>Неполное высшее</w:t>
            </w:r>
            <w:r>
              <w:rPr>
                <w:color w:val="000000"/>
              </w:rPr>
              <w:t>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67EB" w:rsidRPr="00A07BF0" w:rsidRDefault="005167EB" w:rsidP="005167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BF0">
              <w:rPr>
                <w:b/>
                <w:bCs/>
                <w:color w:val="000000"/>
                <w:sz w:val="22"/>
                <w:szCs w:val="22"/>
              </w:rPr>
              <w:t>19,2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167EB" w:rsidRPr="00A07BF0" w:rsidRDefault="00DA3B07" w:rsidP="00EA28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5167EB" w:rsidRPr="00A07BF0" w:rsidTr="00F90C62">
        <w:trPr>
          <w:trHeight w:val="23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EB" w:rsidRPr="00A07BF0" w:rsidRDefault="005167EB" w:rsidP="00A07BF0">
            <w:pPr>
              <w:rPr>
                <w:color w:val="000000"/>
              </w:rPr>
            </w:pPr>
            <w:r w:rsidRPr="00A07BF0">
              <w:rPr>
                <w:color w:val="000000"/>
              </w:rPr>
              <w:t>Высшее</w:t>
            </w:r>
            <w:r>
              <w:rPr>
                <w:color w:val="000000"/>
              </w:rPr>
              <w:t>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67EB" w:rsidRPr="00A07BF0" w:rsidRDefault="005167EB" w:rsidP="005167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BF0"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167EB" w:rsidRPr="00A07BF0" w:rsidRDefault="00F90C62" w:rsidP="00EA28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DA3B07" w:rsidRPr="00A07BF0" w:rsidTr="00F90C62">
        <w:trPr>
          <w:trHeight w:val="18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B07" w:rsidRPr="00A07BF0" w:rsidRDefault="00F90C62" w:rsidP="00A07BF0">
            <w:pPr>
              <w:rPr>
                <w:color w:val="000000"/>
              </w:rPr>
            </w:pPr>
            <w:r>
              <w:rPr>
                <w:color w:val="000000"/>
              </w:rPr>
              <w:t>Высшее-бакалавриат,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A3B07" w:rsidRPr="00A07BF0" w:rsidRDefault="00F90C62" w:rsidP="005167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A3B07" w:rsidRDefault="00F90C62" w:rsidP="00EA28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36,4</w:t>
            </w:r>
          </w:p>
        </w:tc>
      </w:tr>
      <w:tr w:rsidR="00DA3B07" w:rsidRPr="00A07BF0" w:rsidTr="00F90C62">
        <w:trPr>
          <w:trHeight w:val="18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B07" w:rsidRPr="00A07BF0" w:rsidRDefault="00F90C62" w:rsidP="00A07BF0">
            <w:pPr>
              <w:rPr>
                <w:color w:val="000000"/>
              </w:rPr>
            </w:pPr>
            <w:r>
              <w:rPr>
                <w:color w:val="000000"/>
              </w:rPr>
              <w:t>Высшее-специалист, магистратура,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A3B07" w:rsidRPr="00A07BF0" w:rsidRDefault="00F90C62" w:rsidP="005167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A3B07" w:rsidRDefault="00F90C62" w:rsidP="00EA28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28,8</w:t>
            </w:r>
          </w:p>
        </w:tc>
      </w:tr>
      <w:tr w:rsidR="00DA3B07" w:rsidRPr="00A07BF0" w:rsidTr="00F90C62">
        <w:trPr>
          <w:trHeight w:val="18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B07" w:rsidRPr="00A07BF0" w:rsidRDefault="00F90C62" w:rsidP="00A07BF0">
            <w:pPr>
              <w:rPr>
                <w:color w:val="000000"/>
              </w:rPr>
            </w:pPr>
            <w:r>
              <w:rPr>
                <w:color w:val="000000"/>
              </w:rPr>
              <w:t>Высшее-подготовка кадров высшей квалификации,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A3B07" w:rsidRPr="00A07BF0" w:rsidRDefault="00F90C62" w:rsidP="005167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A3B07" w:rsidRDefault="00F90C62" w:rsidP="00EA28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6,3</w:t>
            </w:r>
          </w:p>
        </w:tc>
      </w:tr>
      <w:tr w:rsidR="005167EB" w:rsidRPr="00A07BF0" w:rsidTr="00F90C62">
        <w:trPr>
          <w:trHeight w:val="18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7EB" w:rsidRPr="00A07BF0" w:rsidRDefault="005167EB" w:rsidP="00A07BF0">
            <w:pPr>
              <w:rPr>
                <w:color w:val="000000"/>
              </w:rPr>
            </w:pPr>
            <w:r w:rsidRPr="00A07BF0">
              <w:rPr>
                <w:color w:val="000000"/>
              </w:rPr>
              <w:t>Научная степень</w:t>
            </w:r>
            <w:r>
              <w:rPr>
                <w:color w:val="000000"/>
              </w:rPr>
              <w:t>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67EB" w:rsidRPr="00A07BF0" w:rsidRDefault="005167EB" w:rsidP="005167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BF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167EB" w:rsidRPr="00A07BF0" w:rsidRDefault="00F90C62" w:rsidP="00EA28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A07BF0" w:rsidRDefault="00A07BF0" w:rsidP="00FF23B6">
      <w:pPr>
        <w:ind w:firstLine="709"/>
        <w:jc w:val="both"/>
        <w:rPr>
          <w:sz w:val="28"/>
          <w:szCs w:val="28"/>
        </w:rPr>
      </w:pPr>
    </w:p>
    <w:p w:rsidR="00050C5A" w:rsidRDefault="00050C5A" w:rsidP="008A7A3F">
      <w:pPr>
        <w:pStyle w:val="a7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050C5A">
        <w:rPr>
          <w:b/>
          <w:sz w:val="28"/>
          <w:szCs w:val="28"/>
        </w:rPr>
        <w:t>Динамика оценки потребителями товарных рынков посредством ценообразования, качества и возможности выбора товаров и услуг по каждому рынку в сравнении с прошлым годом.</w:t>
      </w:r>
    </w:p>
    <w:p w:rsidR="00050C5A" w:rsidRPr="00050C5A" w:rsidRDefault="00050C5A" w:rsidP="00050C5A">
      <w:pPr>
        <w:pStyle w:val="a7"/>
        <w:ind w:left="1070"/>
        <w:rPr>
          <w:b/>
          <w:sz w:val="28"/>
          <w:szCs w:val="28"/>
        </w:rPr>
      </w:pPr>
    </w:p>
    <w:p w:rsidR="00050C5A" w:rsidRDefault="0039378B" w:rsidP="00637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оценки </w:t>
      </w:r>
      <w:r w:rsidR="00AB1822">
        <w:rPr>
          <w:sz w:val="28"/>
          <w:szCs w:val="28"/>
        </w:rPr>
        <w:t>потребителями</w:t>
      </w:r>
      <w:r>
        <w:rPr>
          <w:sz w:val="28"/>
          <w:szCs w:val="28"/>
        </w:rPr>
        <w:t xml:space="preserve"> товарных рынков посредством</w:t>
      </w:r>
      <w:r w:rsidR="001F4DC2">
        <w:rPr>
          <w:sz w:val="28"/>
          <w:szCs w:val="28"/>
        </w:rPr>
        <w:t xml:space="preserve"> удовлетвореннос</w:t>
      </w:r>
      <w:r w:rsidR="00AB1822">
        <w:rPr>
          <w:sz w:val="28"/>
          <w:szCs w:val="28"/>
        </w:rPr>
        <w:t xml:space="preserve">ти </w:t>
      </w:r>
      <w:r>
        <w:rPr>
          <w:sz w:val="28"/>
          <w:szCs w:val="28"/>
        </w:rPr>
        <w:t>цено</w:t>
      </w:r>
      <w:r w:rsidR="001F4DC2">
        <w:rPr>
          <w:sz w:val="28"/>
          <w:szCs w:val="28"/>
        </w:rPr>
        <w:t>образованием, качеством и возможностью</w:t>
      </w:r>
      <w:r>
        <w:rPr>
          <w:sz w:val="28"/>
          <w:szCs w:val="28"/>
        </w:rPr>
        <w:t xml:space="preserve"> выбора товаров и услуг</w:t>
      </w:r>
      <w:r w:rsidR="00637143">
        <w:rPr>
          <w:sz w:val="28"/>
          <w:szCs w:val="28"/>
        </w:rPr>
        <w:t xml:space="preserve"> </w:t>
      </w:r>
      <w:r w:rsidR="00530773">
        <w:rPr>
          <w:sz w:val="28"/>
          <w:szCs w:val="28"/>
        </w:rPr>
        <w:t>приведены в таблице 2.</w:t>
      </w:r>
    </w:p>
    <w:p w:rsidR="00530773" w:rsidRPr="00530773" w:rsidRDefault="00530773" w:rsidP="00530773">
      <w:pPr>
        <w:ind w:left="7787" w:firstLine="1"/>
        <w:jc w:val="center"/>
        <w:rPr>
          <w:sz w:val="20"/>
          <w:szCs w:val="20"/>
        </w:rPr>
      </w:pPr>
      <w:r w:rsidRPr="00530773">
        <w:rPr>
          <w:sz w:val="20"/>
          <w:szCs w:val="20"/>
        </w:rPr>
        <w:t>Таблица №2</w:t>
      </w:r>
    </w:p>
    <w:tbl>
      <w:tblPr>
        <w:tblW w:w="9794" w:type="dxa"/>
        <w:tblInd w:w="96" w:type="dxa"/>
        <w:tblLayout w:type="fixed"/>
        <w:tblLook w:val="04A0"/>
      </w:tblPr>
      <w:tblGrid>
        <w:gridCol w:w="5541"/>
        <w:gridCol w:w="709"/>
        <w:gridCol w:w="709"/>
        <w:gridCol w:w="656"/>
        <w:gridCol w:w="656"/>
        <w:gridCol w:w="814"/>
        <w:gridCol w:w="709"/>
      </w:tblGrid>
      <w:tr w:rsidR="00F90C62" w:rsidRPr="00BE4FFD" w:rsidTr="00637143">
        <w:trPr>
          <w:trHeight w:val="330"/>
        </w:trPr>
        <w:tc>
          <w:tcPr>
            <w:tcW w:w="5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C62" w:rsidRPr="00BE4FFD" w:rsidRDefault="00F90C62" w:rsidP="00BE4FFD">
            <w:pPr>
              <w:jc w:val="center"/>
              <w:rPr>
                <w:color w:val="000000"/>
                <w:sz w:val="22"/>
                <w:szCs w:val="22"/>
              </w:rPr>
            </w:pPr>
            <w:r w:rsidRPr="00BE4FFD">
              <w:rPr>
                <w:color w:val="000000"/>
                <w:sz w:val="22"/>
                <w:szCs w:val="22"/>
              </w:rPr>
              <w:t>Наименование  рынка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90C62" w:rsidRPr="00BE4FFD" w:rsidRDefault="00F90C62" w:rsidP="000B7F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цен</w:t>
            </w: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0C62" w:rsidRPr="00BE4FFD" w:rsidRDefault="00F90C62" w:rsidP="000B7F08">
            <w:pPr>
              <w:jc w:val="center"/>
              <w:rPr>
                <w:color w:val="000000"/>
                <w:sz w:val="20"/>
                <w:szCs w:val="20"/>
              </w:rPr>
            </w:pPr>
            <w:r w:rsidRPr="00BE4FFD">
              <w:rPr>
                <w:color w:val="000000"/>
                <w:sz w:val="20"/>
                <w:szCs w:val="20"/>
              </w:rPr>
              <w:t>Качество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90C62" w:rsidRPr="00BE4FFD" w:rsidRDefault="00F90C62" w:rsidP="000B7F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Возможность выбора</w:t>
            </w:r>
          </w:p>
        </w:tc>
      </w:tr>
      <w:tr w:rsidR="003D14B0" w:rsidRPr="00BE4FFD" w:rsidTr="00637143">
        <w:trPr>
          <w:trHeight w:val="177"/>
        </w:trPr>
        <w:tc>
          <w:tcPr>
            <w:tcW w:w="5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4B0" w:rsidRPr="00BE4FFD" w:rsidRDefault="003D14B0" w:rsidP="00BE4F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3D14B0" w:rsidP="003D14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3D14B0" w:rsidP="001F4D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3D14B0" w:rsidP="001F4D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3D14B0" w:rsidRPr="00BE4FFD" w:rsidTr="00637143">
        <w:trPr>
          <w:trHeight w:val="231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B0" w:rsidRPr="00BE4FFD" w:rsidRDefault="003D14B0" w:rsidP="00BE4FFD">
            <w:pPr>
              <w:jc w:val="both"/>
              <w:rPr>
                <w:sz w:val="22"/>
                <w:szCs w:val="22"/>
              </w:rPr>
            </w:pPr>
            <w:r w:rsidRPr="00BE4FFD">
              <w:rPr>
                <w:sz w:val="22"/>
                <w:szCs w:val="22"/>
              </w:rPr>
              <w:t>Рынок услуг дошкольного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76,8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291D8D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77,2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291D8D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291D8D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85,7</w:t>
            </w:r>
          </w:p>
        </w:tc>
      </w:tr>
      <w:tr w:rsidR="003D14B0" w:rsidRPr="00BE4FFD" w:rsidTr="00637143">
        <w:trPr>
          <w:trHeight w:val="108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B0" w:rsidRPr="00BE4FFD" w:rsidRDefault="003D14B0" w:rsidP="00BE4FFD">
            <w:pPr>
              <w:jc w:val="both"/>
              <w:rPr>
                <w:sz w:val="22"/>
                <w:szCs w:val="22"/>
              </w:rPr>
            </w:pPr>
            <w:r w:rsidRPr="00BE4FFD">
              <w:rPr>
                <w:sz w:val="22"/>
                <w:szCs w:val="22"/>
              </w:rPr>
              <w:t>Рынок услуг общего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84,9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291D8D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85,2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4F2505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51,0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291D8D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291D8D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88,2</w:t>
            </w:r>
          </w:p>
        </w:tc>
      </w:tr>
      <w:tr w:rsidR="003D14B0" w:rsidRPr="00BE4FFD" w:rsidTr="00637143">
        <w:trPr>
          <w:trHeight w:val="414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B0" w:rsidRPr="00BE4FFD" w:rsidRDefault="003D14B0" w:rsidP="00BE4FFD">
            <w:pPr>
              <w:jc w:val="both"/>
              <w:rPr>
                <w:sz w:val="22"/>
                <w:szCs w:val="22"/>
              </w:rPr>
            </w:pPr>
            <w:r w:rsidRPr="00BE4FFD">
              <w:rPr>
                <w:sz w:val="22"/>
                <w:szCs w:val="22"/>
              </w:rPr>
              <w:t>Рынок услуг среднего профессионального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78,8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291D8D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56,2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291D8D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80,7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291D8D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80,8</w:t>
            </w:r>
          </w:p>
        </w:tc>
      </w:tr>
      <w:tr w:rsidR="003D14B0" w:rsidRPr="00BE4FFD" w:rsidTr="00637143">
        <w:trPr>
          <w:trHeight w:val="105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B0" w:rsidRPr="00BE4FFD" w:rsidRDefault="003D14B0" w:rsidP="00BE4FFD">
            <w:pPr>
              <w:jc w:val="both"/>
              <w:rPr>
                <w:sz w:val="22"/>
                <w:szCs w:val="22"/>
              </w:rPr>
            </w:pPr>
            <w:r w:rsidRPr="00BE4FFD">
              <w:rPr>
                <w:sz w:val="22"/>
                <w:szCs w:val="22"/>
              </w:rPr>
              <w:t>Рынок услуг детского отдыха и оздоровления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57,3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DF6A57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53,9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86,9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291D8D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84,9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291D8D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86,6</w:t>
            </w:r>
          </w:p>
        </w:tc>
      </w:tr>
      <w:tr w:rsidR="003D14B0" w:rsidRPr="00BE4FFD" w:rsidTr="00637143">
        <w:trPr>
          <w:trHeight w:val="123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B0" w:rsidRPr="00BE4FFD" w:rsidRDefault="003D14B0" w:rsidP="00BE4FFD">
            <w:pPr>
              <w:jc w:val="both"/>
              <w:rPr>
                <w:sz w:val="22"/>
                <w:szCs w:val="22"/>
              </w:rPr>
            </w:pPr>
            <w:r w:rsidRPr="00BE4FFD">
              <w:rPr>
                <w:sz w:val="22"/>
                <w:szCs w:val="22"/>
              </w:rPr>
              <w:t>Рынок услуг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75,4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291D8D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75,6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B6487D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291D8D">
              <w:rPr>
                <w:b/>
                <w:bCs/>
                <w:color w:val="000000"/>
                <w:sz w:val="22"/>
                <w:szCs w:val="22"/>
              </w:rPr>
              <w:t>2,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291D8D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291D8D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83,2</w:t>
            </w:r>
          </w:p>
        </w:tc>
      </w:tr>
      <w:tr w:rsidR="003D14B0" w:rsidRPr="00BE4FFD" w:rsidTr="00637143">
        <w:trPr>
          <w:trHeight w:val="724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B0" w:rsidRPr="00BE4FFD" w:rsidRDefault="003D14B0" w:rsidP="00BE4FFD">
            <w:pPr>
              <w:jc w:val="both"/>
              <w:rPr>
                <w:sz w:val="22"/>
                <w:szCs w:val="22"/>
              </w:rPr>
            </w:pPr>
            <w:r w:rsidRPr="00BE4FFD">
              <w:rPr>
                <w:sz w:val="22"/>
                <w:szCs w:val="22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DF6A57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16,7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DF6A57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DF6A57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12,3</w:t>
            </w:r>
          </w:p>
        </w:tc>
      </w:tr>
      <w:tr w:rsidR="003D14B0" w:rsidRPr="00BE4FFD" w:rsidTr="00637143">
        <w:trPr>
          <w:trHeight w:val="545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B0" w:rsidRPr="00BE4FFD" w:rsidRDefault="003D14B0" w:rsidP="00BE4FFD">
            <w:pPr>
              <w:jc w:val="both"/>
              <w:rPr>
                <w:sz w:val="22"/>
                <w:szCs w:val="22"/>
              </w:rPr>
            </w:pPr>
            <w:r w:rsidRPr="00BE4FFD">
              <w:rPr>
                <w:sz w:val="22"/>
                <w:szCs w:val="22"/>
              </w:rPr>
              <w:t>Рынок теплоснабжения (производство тепловой энергии)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81</w:t>
            </w:r>
            <w:r w:rsidR="00B6487D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4F2505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88,5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4F2505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4F2505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81,0</w:t>
            </w:r>
          </w:p>
        </w:tc>
      </w:tr>
      <w:tr w:rsidR="003D14B0" w:rsidRPr="00BE4FFD" w:rsidTr="00637143">
        <w:trPr>
          <w:trHeight w:val="546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B0" w:rsidRPr="00BE4FFD" w:rsidRDefault="003D14B0" w:rsidP="00BE4FFD">
            <w:pPr>
              <w:jc w:val="both"/>
              <w:rPr>
                <w:sz w:val="22"/>
                <w:szCs w:val="22"/>
              </w:rPr>
            </w:pPr>
            <w:r w:rsidRPr="00BE4FFD">
              <w:rPr>
                <w:sz w:val="22"/>
                <w:szCs w:val="22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79,9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4F2505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89,6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4F2505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4F2505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82,4</w:t>
            </w:r>
          </w:p>
        </w:tc>
      </w:tr>
      <w:tr w:rsidR="003D14B0" w:rsidRPr="00BE4FFD" w:rsidTr="00637143">
        <w:trPr>
          <w:trHeight w:val="283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B0" w:rsidRPr="00BE4FFD" w:rsidRDefault="003D14B0" w:rsidP="00BE4FFD">
            <w:pPr>
              <w:jc w:val="both"/>
              <w:rPr>
                <w:sz w:val="22"/>
                <w:szCs w:val="22"/>
              </w:rPr>
            </w:pPr>
            <w:r w:rsidRPr="00BE4FFD">
              <w:rPr>
                <w:sz w:val="22"/>
                <w:szCs w:val="22"/>
              </w:rPr>
              <w:t>Рынок поставки сжиженного газа в баллонах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4F2505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83,2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4F2505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4F2505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88,2</w:t>
            </w:r>
          </w:p>
        </w:tc>
      </w:tr>
      <w:tr w:rsidR="003D14B0" w:rsidRPr="00BE4FFD" w:rsidTr="00637143">
        <w:trPr>
          <w:trHeight w:val="628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B0" w:rsidRPr="00BE4FFD" w:rsidRDefault="003D14B0" w:rsidP="00BE4FFD">
            <w:pPr>
              <w:jc w:val="both"/>
              <w:rPr>
                <w:sz w:val="22"/>
                <w:szCs w:val="22"/>
              </w:rPr>
            </w:pPr>
            <w:r w:rsidRPr="00BE4FFD">
              <w:rPr>
                <w:sz w:val="22"/>
                <w:szCs w:val="22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81</w:t>
            </w:r>
            <w:r w:rsidR="00B6487D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4F2505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80,8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83</w:t>
            </w:r>
            <w:r w:rsidR="00B6487D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4F2505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4F2505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79,2</w:t>
            </w:r>
          </w:p>
        </w:tc>
      </w:tr>
      <w:tr w:rsidR="003D14B0" w:rsidRPr="00BE4FFD" w:rsidTr="00637143">
        <w:trPr>
          <w:trHeight w:val="994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B0" w:rsidRPr="00BE4FFD" w:rsidRDefault="003D14B0" w:rsidP="00BE4FFD">
            <w:pPr>
              <w:jc w:val="both"/>
              <w:rPr>
                <w:sz w:val="22"/>
                <w:szCs w:val="22"/>
              </w:rPr>
            </w:pPr>
            <w:r w:rsidRPr="00BE4FFD">
              <w:rPr>
                <w:sz w:val="22"/>
                <w:szCs w:val="22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DF6A57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3D14B0" w:rsidRPr="00BE4FFD">
              <w:rPr>
                <w:b/>
                <w:bCs/>
                <w:color w:val="000000"/>
                <w:sz w:val="22"/>
                <w:szCs w:val="22"/>
              </w:rPr>
              <w:t>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4F2505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DF6A57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3D14B0" w:rsidRPr="00BE4FFD">
              <w:rPr>
                <w:b/>
                <w:bCs/>
                <w:color w:val="000000"/>
                <w:sz w:val="22"/>
                <w:szCs w:val="22"/>
              </w:rPr>
              <w:t>6,9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4F2505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DF6A57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3D14B0" w:rsidRPr="00BE4FFD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B6487D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4F2505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26,6</w:t>
            </w:r>
          </w:p>
        </w:tc>
      </w:tr>
      <w:tr w:rsidR="003D14B0" w:rsidRPr="00BE4FFD" w:rsidTr="00637143">
        <w:trPr>
          <w:trHeight w:val="654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B0" w:rsidRPr="00BE4FFD" w:rsidRDefault="003D14B0" w:rsidP="00BE4FFD">
            <w:pPr>
              <w:jc w:val="both"/>
              <w:rPr>
                <w:sz w:val="22"/>
                <w:szCs w:val="22"/>
              </w:rPr>
            </w:pPr>
            <w:r w:rsidRPr="00BE4FFD">
              <w:rPr>
                <w:sz w:val="22"/>
                <w:szCs w:val="22"/>
              </w:rPr>
              <w:t>Рынок услуг перевозок пассажиров автомобильным транспортом  по муниципальным маршрутам регулярных перевозок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78,2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4F2505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78,1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80,7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4F2505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B6487D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AA31DB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85,4</w:t>
            </w:r>
          </w:p>
        </w:tc>
      </w:tr>
      <w:tr w:rsidR="003D14B0" w:rsidRPr="00BE4FFD" w:rsidTr="00637143">
        <w:trPr>
          <w:trHeight w:val="736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B0" w:rsidRPr="00BE4FFD" w:rsidRDefault="003D14B0" w:rsidP="00BE4FFD">
            <w:pPr>
              <w:jc w:val="both"/>
              <w:rPr>
                <w:sz w:val="22"/>
                <w:szCs w:val="22"/>
              </w:rPr>
            </w:pPr>
            <w:r w:rsidRPr="00BE4FFD">
              <w:rPr>
                <w:sz w:val="22"/>
                <w:szCs w:val="22"/>
              </w:rPr>
              <w:t>Рынок услуг перевозок пассажиров автомобильным транспортом  по межмуниципальным маршрутам регулярных перевозок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78,2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8F118B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78,3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84,9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8F118B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8F118B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87,3</w:t>
            </w:r>
          </w:p>
        </w:tc>
      </w:tr>
      <w:tr w:rsidR="003D14B0" w:rsidRPr="00BE4FFD" w:rsidTr="00637143">
        <w:trPr>
          <w:trHeight w:val="662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B0" w:rsidRPr="00BE4FFD" w:rsidRDefault="003D14B0" w:rsidP="00BE4FFD">
            <w:pPr>
              <w:jc w:val="both"/>
              <w:rPr>
                <w:sz w:val="22"/>
                <w:szCs w:val="22"/>
              </w:rPr>
            </w:pPr>
            <w:r w:rsidRPr="00BE4FFD">
              <w:rPr>
                <w:sz w:val="22"/>
                <w:szCs w:val="22"/>
              </w:rPr>
              <w:t>Рынок оказания услуг по перевозке пассажиров и багажа легковым такси на территории Ставропольского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8F118B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86,8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82,1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8F118B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8F118B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84,4</w:t>
            </w:r>
          </w:p>
        </w:tc>
      </w:tr>
      <w:tr w:rsidR="003D14B0" w:rsidRPr="00BE4FFD" w:rsidTr="00637143">
        <w:trPr>
          <w:trHeight w:val="550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B0" w:rsidRPr="00BE4FFD" w:rsidRDefault="003D14B0" w:rsidP="00BE4FFD">
            <w:pPr>
              <w:jc w:val="both"/>
              <w:rPr>
                <w:sz w:val="22"/>
                <w:szCs w:val="22"/>
              </w:rPr>
            </w:pPr>
            <w:r w:rsidRPr="00BE4FFD">
              <w:rPr>
                <w:sz w:val="22"/>
                <w:szCs w:val="22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8F118B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94,9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8F118B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84,9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8F118B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84,9</w:t>
            </w:r>
          </w:p>
        </w:tc>
      </w:tr>
      <w:tr w:rsidR="003D14B0" w:rsidRPr="00BE4FFD" w:rsidTr="00637143">
        <w:trPr>
          <w:trHeight w:val="245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B0" w:rsidRPr="00BE4FFD" w:rsidRDefault="003D14B0" w:rsidP="00BE4FFD">
            <w:pPr>
              <w:jc w:val="both"/>
              <w:rPr>
                <w:sz w:val="22"/>
                <w:szCs w:val="22"/>
              </w:rPr>
            </w:pPr>
            <w:r w:rsidRPr="00BE4FFD">
              <w:rPr>
                <w:sz w:val="22"/>
                <w:szCs w:val="22"/>
              </w:rPr>
              <w:t>Рынок  социальных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79,3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8F118B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86,6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8F118B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8F118B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87,3</w:t>
            </w:r>
          </w:p>
        </w:tc>
      </w:tr>
      <w:tr w:rsidR="003D14B0" w:rsidRPr="00BE4FFD" w:rsidTr="00637143">
        <w:trPr>
          <w:trHeight w:val="221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B0" w:rsidRPr="00BE4FFD" w:rsidRDefault="003D14B0" w:rsidP="00BE4FFD">
            <w:pPr>
              <w:jc w:val="both"/>
              <w:rPr>
                <w:sz w:val="22"/>
                <w:szCs w:val="22"/>
              </w:rPr>
            </w:pPr>
            <w:r w:rsidRPr="00BE4FFD">
              <w:rPr>
                <w:sz w:val="22"/>
                <w:szCs w:val="22"/>
              </w:rPr>
              <w:t>Рынок медицинских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62,3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DF6A57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58,9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49,1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8F118B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DF6A57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80,8</w:t>
            </w:r>
          </w:p>
        </w:tc>
      </w:tr>
      <w:tr w:rsidR="003D14B0" w:rsidRPr="00BE4FFD" w:rsidTr="00637143">
        <w:trPr>
          <w:trHeight w:val="248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B0" w:rsidRPr="00BE4FFD" w:rsidRDefault="003D14B0" w:rsidP="00BE4FFD">
            <w:pPr>
              <w:jc w:val="both"/>
              <w:rPr>
                <w:sz w:val="22"/>
                <w:szCs w:val="22"/>
              </w:rPr>
            </w:pPr>
            <w:r w:rsidRPr="00BE4FFD">
              <w:rPr>
                <w:sz w:val="22"/>
                <w:szCs w:val="22"/>
              </w:rPr>
              <w:t>Рынок санаторно-курортных и туристических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5E740D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DF6A57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35,9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5E740D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8F118B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5E740D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8F118B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81,6</w:t>
            </w:r>
          </w:p>
        </w:tc>
      </w:tr>
      <w:tr w:rsidR="003D14B0" w:rsidRPr="00BE4FFD" w:rsidTr="00637143">
        <w:trPr>
          <w:trHeight w:val="276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B0" w:rsidRPr="00BE4FFD" w:rsidRDefault="003D14B0" w:rsidP="00BE4FFD">
            <w:pPr>
              <w:jc w:val="both"/>
              <w:rPr>
                <w:sz w:val="22"/>
                <w:szCs w:val="22"/>
              </w:rPr>
            </w:pPr>
            <w:r w:rsidRPr="00BE4FFD">
              <w:rPr>
                <w:sz w:val="22"/>
                <w:szCs w:val="22"/>
              </w:rPr>
              <w:t>Рынок реализации сельскохозяйственной продукции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8F118B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84,1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81,6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8F118B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8F118B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86,8</w:t>
            </w:r>
          </w:p>
        </w:tc>
      </w:tr>
      <w:tr w:rsidR="003D14B0" w:rsidRPr="00BE4FFD" w:rsidTr="00637143">
        <w:trPr>
          <w:trHeight w:val="196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B0" w:rsidRPr="00BE4FFD" w:rsidRDefault="003D14B0" w:rsidP="00BE4FFD">
            <w:pPr>
              <w:jc w:val="both"/>
              <w:rPr>
                <w:sz w:val="22"/>
                <w:szCs w:val="22"/>
              </w:rPr>
            </w:pPr>
            <w:r w:rsidRPr="00BE4FFD">
              <w:rPr>
                <w:sz w:val="22"/>
                <w:szCs w:val="22"/>
              </w:rPr>
              <w:t>Рынок племенного животноводства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86</w:t>
            </w:r>
            <w:r w:rsidR="005E740D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8F118B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86,3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85,7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8F118B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8F118B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83,6</w:t>
            </w:r>
          </w:p>
        </w:tc>
      </w:tr>
      <w:tr w:rsidR="003D14B0" w:rsidRPr="00BE4FFD" w:rsidTr="00637143">
        <w:trPr>
          <w:trHeight w:val="278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B0" w:rsidRPr="00BE4FFD" w:rsidRDefault="003D14B0" w:rsidP="00BE4FFD">
            <w:pPr>
              <w:jc w:val="both"/>
              <w:rPr>
                <w:sz w:val="22"/>
                <w:szCs w:val="22"/>
              </w:rPr>
            </w:pPr>
            <w:r w:rsidRPr="00BE4FFD">
              <w:rPr>
                <w:sz w:val="22"/>
                <w:szCs w:val="22"/>
              </w:rPr>
              <w:t>Рынок семеноводства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8F118B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68,3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8F118B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94,7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8F118B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95,0</w:t>
            </w:r>
          </w:p>
        </w:tc>
      </w:tr>
      <w:tr w:rsidR="003D14B0" w:rsidRPr="00BE4FFD" w:rsidTr="00637143">
        <w:trPr>
          <w:trHeight w:val="262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B0" w:rsidRPr="00BE4FFD" w:rsidRDefault="003D14B0" w:rsidP="00BE4FFD">
            <w:pPr>
              <w:jc w:val="both"/>
              <w:rPr>
                <w:sz w:val="22"/>
                <w:szCs w:val="22"/>
              </w:rPr>
            </w:pPr>
            <w:r w:rsidRPr="00BE4FFD">
              <w:rPr>
                <w:sz w:val="22"/>
                <w:szCs w:val="22"/>
              </w:rPr>
              <w:t>Рынок вылова водных биоресурсов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8F118B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83,2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8F118B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8F118B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85,4</w:t>
            </w:r>
          </w:p>
        </w:tc>
      </w:tr>
      <w:tr w:rsidR="003D14B0" w:rsidRPr="00BE4FFD" w:rsidTr="00637143">
        <w:trPr>
          <w:trHeight w:val="111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B0" w:rsidRPr="00BE4FFD" w:rsidRDefault="003D14B0" w:rsidP="00BE4FFD">
            <w:pPr>
              <w:jc w:val="both"/>
              <w:rPr>
                <w:sz w:val="22"/>
                <w:szCs w:val="22"/>
              </w:rPr>
            </w:pPr>
            <w:r w:rsidRPr="00BE4FFD">
              <w:rPr>
                <w:sz w:val="22"/>
                <w:szCs w:val="22"/>
              </w:rPr>
              <w:t>Рынок переработки водных биоресурсов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8F118B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77,8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8F118B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58,2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8F118B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76,4</w:t>
            </w:r>
          </w:p>
        </w:tc>
      </w:tr>
      <w:tr w:rsidR="003D14B0" w:rsidRPr="00BE4FFD" w:rsidTr="00637143">
        <w:trPr>
          <w:trHeight w:val="322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B0" w:rsidRPr="00BE4FFD" w:rsidRDefault="003D14B0" w:rsidP="00BE4FFD">
            <w:pPr>
              <w:jc w:val="both"/>
              <w:rPr>
                <w:sz w:val="22"/>
                <w:szCs w:val="22"/>
              </w:rPr>
            </w:pPr>
            <w:r w:rsidRPr="00BE4FFD">
              <w:rPr>
                <w:sz w:val="22"/>
                <w:szCs w:val="22"/>
              </w:rPr>
              <w:t>Рынок товарной аквакультуры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8F118B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69,9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8F118B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8F118B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77,0</w:t>
            </w:r>
          </w:p>
        </w:tc>
      </w:tr>
      <w:tr w:rsidR="003D14B0" w:rsidRPr="00BE4FFD" w:rsidTr="00637143">
        <w:trPr>
          <w:trHeight w:val="256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B0" w:rsidRPr="00BE4FFD" w:rsidRDefault="003D14B0" w:rsidP="00BE4FFD">
            <w:pPr>
              <w:jc w:val="both"/>
              <w:rPr>
                <w:sz w:val="22"/>
                <w:szCs w:val="22"/>
              </w:rPr>
            </w:pPr>
            <w:r w:rsidRPr="00BE4FFD">
              <w:rPr>
                <w:sz w:val="22"/>
                <w:szCs w:val="22"/>
              </w:rPr>
              <w:t>Рынок ремонта автотранспортных средств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8F118B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82,2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79,1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8F118B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8F118B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88,5</w:t>
            </w:r>
          </w:p>
        </w:tc>
      </w:tr>
      <w:tr w:rsidR="003D14B0" w:rsidRPr="00BE4FFD" w:rsidTr="00637143">
        <w:trPr>
          <w:trHeight w:val="283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B0" w:rsidRPr="00BE4FFD" w:rsidRDefault="003D14B0" w:rsidP="00BE4FFD">
            <w:pPr>
              <w:jc w:val="both"/>
              <w:rPr>
                <w:sz w:val="22"/>
                <w:szCs w:val="22"/>
              </w:rPr>
            </w:pPr>
            <w:r w:rsidRPr="00BE4FFD">
              <w:rPr>
                <w:sz w:val="22"/>
                <w:szCs w:val="22"/>
              </w:rPr>
              <w:t>Рынок ритуальных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84,9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8F118B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83,5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8F118B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8F118B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85,4</w:t>
            </w:r>
          </w:p>
        </w:tc>
      </w:tr>
      <w:tr w:rsidR="003D14B0" w:rsidRPr="00BE4FFD" w:rsidTr="00637143">
        <w:trPr>
          <w:trHeight w:val="260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B0" w:rsidRPr="00BE4FFD" w:rsidRDefault="003D14B0" w:rsidP="00BE4FFD">
            <w:pPr>
              <w:jc w:val="both"/>
              <w:rPr>
                <w:sz w:val="22"/>
                <w:szCs w:val="22"/>
              </w:rPr>
            </w:pPr>
            <w:r w:rsidRPr="00BE4FFD">
              <w:rPr>
                <w:sz w:val="22"/>
                <w:szCs w:val="22"/>
              </w:rPr>
              <w:t>Сфера наружной рекламы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E31CAF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89,6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89,1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E31CAF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E31CAF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84,4</w:t>
            </w:r>
          </w:p>
        </w:tc>
      </w:tr>
      <w:tr w:rsidR="003D14B0" w:rsidRPr="00BE4FFD" w:rsidTr="00637143">
        <w:trPr>
          <w:trHeight w:val="264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B0" w:rsidRPr="00BE4FFD" w:rsidRDefault="003D14B0" w:rsidP="00BE4FFD">
            <w:pPr>
              <w:jc w:val="both"/>
              <w:rPr>
                <w:sz w:val="22"/>
                <w:szCs w:val="22"/>
              </w:rPr>
            </w:pPr>
            <w:r w:rsidRPr="00BE4FFD">
              <w:rPr>
                <w:sz w:val="22"/>
                <w:szCs w:val="22"/>
              </w:rPr>
              <w:t>Рынок жилищного строительства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5E740D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DF6A57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35,9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5E740D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72,4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E31CAF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E31CAF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79,5</w:t>
            </w:r>
          </w:p>
        </w:tc>
      </w:tr>
      <w:tr w:rsidR="003D14B0" w:rsidRPr="00BE4FFD" w:rsidTr="00637143">
        <w:trPr>
          <w:trHeight w:val="255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B0" w:rsidRPr="00BE4FFD" w:rsidRDefault="003D14B0" w:rsidP="00BE4FFD">
            <w:pPr>
              <w:jc w:val="both"/>
              <w:rPr>
                <w:sz w:val="22"/>
                <w:szCs w:val="22"/>
              </w:rPr>
            </w:pPr>
            <w:r w:rsidRPr="00BE4FFD">
              <w:rPr>
                <w:sz w:val="22"/>
                <w:szCs w:val="22"/>
              </w:rPr>
              <w:lastRenderedPageBreak/>
              <w:t>Рынок дорожной деятельности (за исключением проектирования)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E31CAF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75,3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81,7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E31CAF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72,9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77,7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E31CAF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76,2</w:t>
            </w:r>
          </w:p>
        </w:tc>
      </w:tr>
      <w:tr w:rsidR="003D14B0" w:rsidRPr="00BE4FFD" w:rsidTr="00637143">
        <w:trPr>
          <w:trHeight w:val="249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B0" w:rsidRPr="00BE4FFD" w:rsidRDefault="003D14B0" w:rsidP="00BE4FFD">
            <w:pPr>
              <w:jc w:val="both"/>
              <w:rPr>
                <w:sz w:val="22"/>
                <w:szCs w:val="22"/>
              </w:rPr>
            </w:pPr>
            <w:r w:rsidRPr="00BE4FFD">
              <w:rPr>
                <w:sz w:val="22"/>
                <w:szCs w:val="22"/>
              </w:rPr>
              <w:t>Рынок архитектурно-строительного проектирования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5E740D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AA31DB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13,1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AA31DB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5E740D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AA31DB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3D14B0" w:rsidRPr="00BE4FFD" w:rsidTr="00637143">
        <w:trPr>
          <w:trHeight w:val="384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B0" w:rsidRPr="00BE4FFD" w:rsidRDefault="003D14B0" w:rsidP="00BE4FFD">
            <w:pPr>
              <w:jc w:val="both"/>
              <w:rPr>
                <w:sz w:val="22"/>
                <w:szCs w:val="22"/>
              </w:rPr>
            </w:pPr>
            <w:r w:rsidRPr="00BE4FFD">
              <w:rPr>
                <w:sz w:val="22"/>
                <w:szCs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E31CAF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71,8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85,2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E31CAF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E31CAF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75,9</w:t>
            </w:r>
          </w:p>
        </w:tc>
      </w:tr>
      <w:tr w:rsidR="003D14B0" w:rsidRPr="00BE4FFD" w:rsidTr="00637143">
        <w:trPr>
          <w:trHeight w:val="240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B0" w:rsidRPr="00BE4FFD" w:rsidRDefault="003D14B0" w:rsidP="00BE4FFD">
            <w:pPr>
              <w:jc w:val="both"/>
              <w:rPr>
                <w:sz w:val="22"/>
                <w:szCs w:val="22"/>
              </w:rPr>
            </w:pPr>
            <w:r w:rsidRPr="00BE4FFD">
              <w:rPr>
                <w:sz w:val="22"/>
                <w:szCs w:val="22"/>
              </w:rPr>
              <w:t>Рынок легкой промышленности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5E740D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AA31DB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AA31DB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5E740D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AA31DB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18,0</w:t>
            </w:r>
          </w:p>
        </w:tc>
      </w:tr>
      <w:tr w:rsidR="003D14B0" w:rsidRPr="00BE4FFD" w:rsidTr="00637143">
        <w:trPr>
          <w:trHeight w:val="404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B0" w:rsidRPr="00BE4FFD" w:rsidRDefault="003D14B0" w:rsidP="00BE4FFD">
            <w:pPr>
              <w:jc w:val="both"/>
              <w:rPr>
                <w:sz w:val="22"/>
                <w:szCs w:val="22"/>
              </w:rPr>
            </w:pPr>
            <w:r w:rsidRPr="00BE4FFD">
              <w:rPr>
                <w:sz w:val="22"/>
                <w:szCs w:val="22"/>
              </w:rPr>
              <w:t>Рынок обработки древесины и производства изделий из дерева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E31CAF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62,0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E31CAF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E31CAF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76,2</w:t>
            </w:r>
          </w:p>
        </w:tc>
      </w:tr>
      <w:tr w:rsidR="003D14B0" w:rsidRPr="00BE4FFD" w:rsidTr="00637143">
        <w:trPr>
          <w:trHeight w:val="262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B0" w:rsidRPr="00BE4FFD" w:rsidRDefault="003D14B0" w:rsidP="00BE4FFD">
            <w:pPr>
              <w:jc w:val="both"/>
              <w:rPr>
                <w:sz w:val="22"/>
                <w:szCs w:val="22"/>
              </w:rPr>
            </w:pPr>
            <w:r w:rsidRPr="00BE4FFD">
              <w:rPr>
                <w:sz w:val="22"/>
                <w:szCs w:val="22"/>
              </w:rPr>
              <w:t>Рынок производства кирпича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E31CAF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88,3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E31CAF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E31CAF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82,5</w:t>
            </w:r>
          </w:p>
        </w:tc>
      </w:tr>
      <w:tr w:rsidR="003D14B0" w:rsidRPr="00BE4FFD" w:rsidTr="00637143">
        <w:trPr>
          <w:trHeight w:val="214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B0" w:rsidRPr="00BE4FFD" w:rsidRDefault="003D14B0" w:rsidP="00BE4FFD">
            <w:pPr>
              <w:jc w:val="both"/>
              <w:rPr>
                <w:sz w:val="22"/>
                <w:szCs w:val="22"/>
              </w:rPr>
            </w:pPr>
            <w:r w:rsidRPr="00BE4FFD">
              <w:rPr>
                <w:sz w:val="22"/>
                <w:szCs w:val="22"/>
              </w:rPr>
              <w:t>Рынок производства бетона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5E740D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AA31DB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24,7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AA31DB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5E740D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AA31DB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25,2</w:t>
            </w:r>
          </w:p>
        </w:tc>
      </w:tr>
      <w:tr w:rsidR="003D14B0" w:rsidRPr="00BE4FFD" w:rsidTr="00637143">
        <w:trPr>
          <w:trHeight w:val="218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B0" w:rsidRPr="00BE4FFD" w:rsidRDefault="003D14B0" w:rsidP="00BE4FFD">
            <w:pPr>
              <w:jc w:val="both"/>
              <w:rPr>
                <w:sz w:val="22"/>
                <w:szCs w:val="22"/>
              </w:rPr>
            </w:pPr>
            <w:r w:rsidRPr="00BE4FFD">
              <w:rPr>
                <w:sz w:val="22"/>
                <w:szCs w:val="22"/>
              </w:rPr>
              <w:t>Рынок нефтепродуктов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5E740D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DF6A57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17,8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88</w:t>
            </w:r>
            <w:r w:rsidR="00E21360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E31CAF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81</w:t>
            </w:r>
            <w:r w:rsidR="00E21360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E31CAF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82,2</w:t>
            </w:r>
          </w:p>
        </w:tc>
      </w:tr>
      <w:tr w:rsidR="003D14B0" w:rsidRPr="00BE4FFD" w:rsidTr="00637143">
        <w:trPr>
          <w:trHeight w:val="652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B0" w:rsidRPr="00BE4FFD" w:rsidRDefault="003D14B0" w:rsidP="00BE4FFD">
            <w:pPr>
              <w:jc w:val="both"/>
              <w:rPr>
                <w:sz w:val="22"/>
                <w:szCs w:val="22"/>
              </w:rPr>
            </w:pPr>
            <w:r w:rsidRPr="00BE4FFD">
              <w:rPr>
                <w:sz w:val="22"/>
                <w:szCs w:val="22"/>
              </w:rPr>
              <w:t>Рынок розничной торговли лекарственными препаратами,  медицинскими изделиями и сопутствующими товарами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77,1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E31CAF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33,2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83</w:t>
            </w:r>
            <w:r w:rsidR="00E21360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E31CAF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E31CAF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86,8</w:t>
            </w:r>
          </w:p>
        </w:tc>
      </w:tr>
      <w:tr w:rsidR="003D14B0" w:rsidRPr="00BE4FFD" w:rsidTr="00637143">
        <w:trPr>
          <w:trHeight w:val="414"/>
        </w:trPr>
        <w:tc>
          <w:tcPr>
            <w:tcW w:w="5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B0" w:rsidRPr="00BE4FFD" w:rsidRDefault="003D14B0" w:rsidP="00BE4FFD">
            <w:pPr>
              <w:jc w:val="both"/>
              <w:rPr>
                <w:sz w:val="22"/>
                <w:szCs w:val="22"/>
              </w:rPr>
            </w:pPr>
            <w:r w:rsidRPr="00BE4FFD">
              <w:rPr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E31CAF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82,2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82,4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E31CAF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83</w:t>
            </w:r>
            <w:r w:rsidR="00E31CAF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BE4FFD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E31CAF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83,6</w:t>
            </w:r>
          </w:p>
        </w:tc>
      </w:tr>
      <w:tr w:rsidR="003D14B0" w:rsidRPr="00BE4FFD" w:rsidTr="00637143">
        <w:trPr>
          <w:trHeight w:val="404"/>
        </w:trPr>
        <w:tc>
          <w:tcPr>
            <w:tcW w:w="55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B0" w:rsidRPr="00BE4FFD" w:rsidRDefault="003D14B0" w:rsidP="00BE4FFD">
            <w:pPr>
              <w:jc w:val="both"/>
              <w:rPr>
                <w:sz w:val="22"/>
                <w:szCs w:val="22"/>
              </w:rPr>
            </w:pPr>
            <w:r w:rsidRPr="00BE4FFD">
              <w:rPr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79,3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E31CAF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47,1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86</w:t>
            </w:r>
            <w:r w:rsidR="00E21360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E31CAF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67,4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3D14B0" w:rsidRPr="00BE4FFD" w:rsidRDefault="003D14B0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FFD">
              <w:rPr>
                <w:b/>
                <w:bCs/>
                <w:color w:val="000000"/>
                <w:sz w:val="22"/>
                <w:szCs w:val="22"/>
              </w:rPr>
              <w:t>84,4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D14B0" w:rsidRPr="00BE4FFD" w:rsidRDefault="00E31CAF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84,9</w:t>
            </w:r>
          </w:p>
        </w:tc>
      </w:tr>
      <w:tr w:rsidR="00D13A79" w:rsidRPr="00BE4FFD" w:rsidTr="00637143">
        <w:trPr>
          <w:trHeight w:val="646"/>
        </w:trPr>
        <w:tc>
          <w:tcPr>
            <w:tcW w:w="55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A79" w:rsidRPr="00BE4FFD" w:rsidRDefault="00D13A79" w:rsidP="00BE4F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D13A79" w:rsidRPr="00BE4FFD" w:rsidRDefault="00D13A79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13A79" w:rsidRDefault="00FB42BA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70,1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D13A79" w:rsidRPr="00BE4FFD" w:rsidRDefault="00D13A79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13A79" w:rsidRDefault="00FB42BA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70,1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D13A79" w:rsidRPr="00BE4FFD" w:rsidRDefault="00D13A79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13A79" w:rsidRDefault="00FB42BA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42,2</w:t>
            </w:r>
          </w:p>
        </w:tc>
      </w:tr>
      <w:tr w:rsidR="00D13A79" w:rsidRPr="00BE4FFD" w:rsidTr="00637143">
        <w:trPr>
          <w:trHeight w:val="275"/>
        </w:trPr>
        <w:tc>
          <w:tcPr>
            <w:tcW w:w="55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A79" w:rsidRPr="00BE4FFD" w:rsidRDefault="00D13A79" w:rsidP="00BE4F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Рынок кадастровых и землеустроительных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D13A79" w:rsidRPr="00BE4FFD" w:rsidRDefault="00D13A79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13A79" w:rsidRDefault="00FB42BA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69,6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D13A79" w:rsidRPr="00BE4FFD" w:rsidRDefault="00D13A79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13A79" w:rsidRDefault="00FB42BA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71,2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D13A79" w:rsidRPr="00BE4FFD" w:rsidRDefault="00D13A79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13A79" w:rsidRDefault="00FB42BA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73,2</w:t>
            </w:r>
          </w:p>
        </w:tc>
      </w:tr>
      <w:tr w:rsidR="00D13A79" w:rsidRPr="00BE4FFD" w:rsidTr="00637143">
        <w:trPr>
          <w:trHeight w:val="301"/>
        </w:trPr>
        <w:tc>
          <w:tcPr>
            <w:tcW w:w="5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A79" w:rsidRPr="00BE4FFD" w:rsidRDefault="00D13A79" w:rsidP="00BE4F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3A79" w:rsidRPr="00BE4FFD" w:rsidRDefault="00D13A79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13A79" w:rsidRDefault="00FB42BA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72,9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3A79" w:rsidRPr="00BE4FFD" w:rsidRDefault="00D13A79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13A79" w:rsidRDefault="00FB42BA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74,5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3A79" w:rsidRPr="00BE4FFD" w:rsidRDefault="00D13A79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13A79" w:rsidRDefault="00FB42BA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71,5</w:t>
            </w:r>
          </w:p>
        </w:tc>
      </w:tr>
      <w:tr w:rsidR="00D13A79" w:rsidRPr="00BE4FFD" w:rsidTr="00637143">
        <w:trPr>
          <w:trHeight w:val="201"/>
        </w:trPr>
        <w:tc>
          <w:tcPr>
            <w:tcW w:w="5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A79" w:rsidRPr="00BE4FFD" w:rsidRDefault="00D13A79" w:rsidP="00BE4F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Рынок минеральной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3A79" w:rsidRPr="00BE4FFD" w:rsidRDefault="00D13A79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13A79" w:rsidRDefault="00FB42BA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69,3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3A79" w:rsidRPr="00BE4FFD" w:rsidRDefault="00D13A79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13A79" w:rsidRDefault="00FB42BA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73,9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3A79" w:rsidRPr="00BE4FFD" w:rsidRDefault="00D13A79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D13A79" w:rsidRDefault="00FB42BA" w:rsidP="00BE4F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74,8</w:t>
            </w:r>
          </w:p>
        </w:tc>
      </w:tr>
    </w:tbl>
    <w:p w:rsidR="007F1336" w:rsidRDefault="007F1336" w:rsidP="00FB42BA">
      <w:pPr>
        <w:jc w:val="both"/>
        <w:rPr>
          <w:sz w:val="28"/>
          <w:szCs w:val="28"/>
        </w:rPr>
      </w:pPr>
    </w:p>
    <w:p w:rsidR="00E73D1C" w:rsidRPr="00E73D1C" w:rsidRDefault="00E73D1C" w:rsidP="00E73D1C">
      <w:pPr>
        <w:ind w:firstLine="709"/>
        <w:jc w:val="both"/>
        <w:rPr>
          <w:sz w:val="28"/>
          <w:szCs w:val="28"/>
        </w:rPr>
      </w:pPr>
      <w:proofErr w:type="gramStart"/>
      <w:r w:rsidRPr="00E73D1C">
        <w:rPr>
          <w:sz w:val="28"/>
          <w:szCs w:val="28"/>
        </w:rPr>
        <w:t>Анализируя результаты оценки удовлетворенности уровнем цен, качеством товаров и услуг, возможностью их выбора на рынках Петровского городского округа Ставропольского края, следует отметить, что в большинстве случаев потребители удовлетворены уровнем цен на рынках товаров, работ и услуг, и при этом преобладающее число опрошенных потребителей положительно оценили качество оказываемых услуг и возможность выбора на исследуемых рынках.</w:t>
      </w:r>
      <w:proofErr w:type="gramEnd"/>
    </w:p>
    <w:p w:rsidR="00E73D1C" w:rsidRDefault="00E73D1C" w:rsidP="00E73D1C">
      <w:pPr>
        <w:ind w:firstLine="709"/>
        <w:jc w:val="both"/>
        <w:rPr>
          <w:sz w:val="28"/>
          <w:szCs w:val="28"/>
        </w:rPr>
      </w:pPr>
    </w:p>
    <w:p w:rsidR="00E73D1C" w:rsidRDefault="009D11EC" w:rsidP="00E73D1C">
      <w:pPr>
        <w:pStyle w:val="a7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динамики количества организаций, пр</w:t>
      </w:r>
      <w:r w:rsidR="008A7A3F">
        <w:rPr>
          <w:b/>
          <w:sz w:val="28"/>
          <w:szCs w:val="28"/>
        </w:rPr>
        <w:t xml:space="preserve">едоставляющих </w:t>
      </w:r>
      <w:r>
        <w:rPr>
          <w:b/>
          <w:sz w:val="28"/>
          <w:szCs w:val="28"/>
        </w:rPr>
        <w:t xml:space="preserve">товары и услуги на </w:t>
      </w:r>
      <w:r w:rsidR="001E698F">
        <w:rPr>
          <w:b/>
          <w:sz w:val="28"/>
          <w:szCs w:val="28"/>
        </w:rPr>
        <w:t>рынках Петровского</w:t>
      </w:r>
      <w:r w:rsidR="00DF6A57">
        <w:rPr>
          <w:b/>
          <w:sz w:val="28"/>
          <w:szCs w:val="28"/>
        </w:rPr>
        <w:t xml:space="preserve"> городского округа </w:t>
      </w:r>
      <w:r w:rsidRPr="00E73D1C">
        <w:rPr>
          <w:b/>
          <w:sz w:val="28"/>
          <w:szCs w:val="28"/>
        </w:rPr>
        <w:t xml:space="preserve">Ставропольского края </w:t>
      </w:r>
      <w:proofErr w:type="gramStart"/>
      <w:r w:rsidRPr="00E73D1C">
        <w:rPr>
          <w:b/>
          <w:sz w:val="28"/>
          <w:szCs w:val="28"/>
        </w:rPr>
        <w:t>за</w:t>
      </w:r>
      <w:proofErr w:type="gramEnd"/>
      <w:r w:rsidRPr="00E73D1C">
        <w:rPr>
          <w:b/>
          <w:sz w:val="28"/>
          <w:szCs w:val="28"/>
        </w:rPr>
        <w:t xml:space="preserve"> последние 3 года по каждому рынку</w:t>
      </w:r>
      <w:r w:rsidR="00E73D1C">
        <w:rPr>
          <w:b/>
          <w:sz w:val="28"/>
          <w:szCs w:val="28"/>
        </w:rPr>
        <w:t>.</w:t>
      </w:r>
    </w:p>
    <w:p w:rsidR="00E73D1C" w:rsidRPr="00E73D1C" w:rsidRDefault="00E73D1C" w:rsidP="00E73D1C">
      <w:pPr>
        <w:pStyle w:val="a7"/>
        <w:ind w:left="0"/>
        <w:rPr>
          <w:b/>
          <w:sz w:val="28"/>
          <w:szCs w:val="28"/>
        </w:rPr>
      </w:pPr>
    </w:p>
    <w:p w:rsidR="00DF6A57" w:rsidRDefault="00527B2D" w:rsidP="008A7A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анализ динамики количества организаций, предоставляющих товары и услуги на рынках</w:t>
      </w:r>
      <w:r w:rsidR="00DF6A57">
        <w:rPr>
          <w:sz w:val="28"/>
          <w:szCs w:val="28"/>
        </w:rPr>
        <w:t xml:space="preserve"> Петровского городского округа</w:t>
      </w:r>
      <w:r>
        <w:rPr>
          <w:sz w:val="28"/>
          <w:szCs w:val="28"/>
        </w:rPr>
        <w:t xml:space="preserve"> Ставропольского края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последние 3 года </w:t>
      </w:r>
      <w:r w:rsidR="00530773">
        <w:rPr>
          <w:sz w:val="28"/>
          <w:szCs w:val="28"/>
        </w:rPr>
        <w:t>приведены в таблице 3.</w:t>
      </w:r>
    </w:p>
    <w:p w:rsidR="00E73D1C" w:rsidRDefault="00E73D1C" w:rsidP="00530773">
      <w:pPr>
        <w:ind w:firstLine="709"/>
        <w:jc w:val="right"/>
        <w:rPr>
          <w:sz w:val="20"/>
          <w:szCs w:val="20"/>
        </w:rPr>
      </w:pPr>
    </w:p>
    <w:p w:rsidR="00530773" w:rsidRPr="00530773" w:rsidRDefault="00530773" w:rsidP="00530773">
      <w:pPr>
        <w:ind w:firstLine="709"/>
        <w:jc w:val="right"/>
        <w:rPr>
          <w:sz w:val="20"/>
          <w:szCs w:val="20"/>
        </w:rPr>
      </w:pPr>
      <w:r w:rsidRPr="00530773">
        <w:rPr>
          <w:sz w:val="20"/>
          <w:szCs w:val="20"/>
        </w:rPr>
        <w:t>Таблица №3</w:t>
      </w:r>
    </w:p>
    <w:tbl>
      <w:tblPr>
        <w:tblW w:w="9783" w:type="dxa"/>
        <w:tblInd w:w="96" w:type="dxa"/>
        <w:tblLook w:val="04A0"/>
      </w:tblPr>
      <w:tblGrid>
        <w:gridCol w:w="5541"/>
        <w:gridCol w:w="702"/>
        <w:gridCol w:w="703"/>
        <w:gridCol w:w="711"/>
        <w:gridCol w:w="709"/>
        <w:gridCol w:w="709"/>
        <w:gridCol w:w="708"/>
      </w:tblGrid>
      <w:tr w:rsidR="00055A42" w:rsidRPr="00A656DC" w:rsidTr="00637143">
        <w:trPr>
          <w:trHeight w:val="300"/>
        </w:trPr>
        <w:tc>
          <w:tcPr>
            <w:tcW w:w="5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42" w:rsidRPr="00A656DC" w:rsidRDefault="00055A42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Наименование рынка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055A42" w:rsidRPr="00A656DC" w:rsidTr="00637143">
        <w:trPr>
          <w:trHeight w:val="1530"/>
        </w:trPr>
        <w:tc>
          <w:tcPr>
            <w:tcW w:w="5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A42" w:rsidRPr="00A656DC" w:rsidRDefault="00055A42" w:rsidP="00A656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6DC">
              <w:rPr>
                <w:b/>
                <w:bCs/>
                <w:color w:val="000000"/>
                <w:sz w:val="22"/>
                <w:szCs w:val="22"/>
              </w:rPr>
              <w:t>Снизилось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055A42" w:rsidRPr="00A656DC" w:rsidRDefault="00DF6A57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6DC">
              <w:rPr>
                <w:b/>
                <w:bCs/>
                <w:color w:val="000000"/>
                <w:sz w:val="22"/>
                <w:szCs w:val="22"/>
              </w:rPr>
              <w:t>Увеличилось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055A42" w:rsidRPr="00A656DC" w:rsidRDefault="00DF6A57" w:rsidP="00055A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6DC">
              <w:rPr>
                <w:b/>
                <w:bCs/>
                <w:color w:val="000000"/>
                <w:sz w:val="22"/>
                <w:szCs w:val="22"/>
              </w:rPr>
              <w:t>Не изменилось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vAlign w:val="center"/>
            <w:hideMark/>
          </w:tcPr>
          <w:p w:rsidR="00055A42" w:rsidRPr="00A656DC" w:rsidRDefault="00055A42" w:rsidP="00A656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6DC">
              <w:rPr>
                <w:b/>
                <w:bCs/>
                <w:color w:val="000000"/>
                <w:sz w:val="22"/>
                <w:szCs w:val="22"/>
              </w:rPr>
              <w:t>Снизилось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vAlign w:val="center"/>
            <w:hideMark/>
          </w:tcPr>
          <w:p w:rsidR="00055A42" w:rsidRPr="00A656DC" w:rsidRDefault="00055A42" w:rsidP="00A656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6DC">
              <w:rPr>
                <w:b/>
                <w:bCs/>
                <w:color w:val="000000"/>
                <w:sz w:val="22"/>
                <w:szCs w:val="22"/>
              </w:rPr>
              <w:t xml:space="preserve">Увеличилось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vAlign w:val="center"/>
            <w:hideMark/>
          </w:tcPr>
          <w:p w:rsidR="00055A42" w:rsidRPr="00A656DC" w:rsidRDefault="00055A42" w:rsidP="00A656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56DC">
              <w:rPr>
                <w:b/>
                <w:bCs/>
                <w:color w:val="000000"/>
                <w:sz w:val="22"/>
                <w:szCs w:val="22"/>
              </w:rPr>
              <w:t xml:space="preserve">Не изменилось </w:t>
            </w:r>
          </w:p>
        </w:tc>
      </w:tr>
      <w:tr w:rsidR="00055A42" w:rsidRPr="00A656DC" w:rsidTr="00637143">
        <w:trPr>
          <w:trHeight w:val="193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42" w:rsidRPr="00A656DC" w:rsidRDefault="00055A42" w:rsidP="00A656DC">
            <w:pPr>
              <w:rPr>
                <w:sz w:val="22"/>
                <w:szCs w:val="22"/>
              </w:rPr>
            </w:pPr>
            <w:r w:rsidRPr="00A656DC">
              <w:rPr>
                <w:sz w:val="22"/>
                <w:szCs w:val="22"/>
              </w:rPr>
              <w:t>Рынок услуг дошкольного образования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60,4</w:t>
            </w:r>
            <w:r w:rsidRPr="00A656D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0364A6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0364A6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0364A6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57,3</w:t>
            </w:r>
          </w:p>
        </w:tc>
      </w:tr>
      <w:tr w:rsidR="00055A42" w:rsidRPr="00A656DC" w:rsidTr="00637143">
        <w:trPr>
          <w:trHeight w:val="21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42" w:rsidRPr="00A656DC" w:rsidRDefault="00055A42" w:rsidP="00A656DC">
            <w:pPr>
              <w:rPr>
                <w:sz w:val="22"/>
                <w:szCs w:val="22"/>
              </w:rPr>
            </w:pPr>
            <w:r w:rsidRPr="00A656DC">
              <w:rPr>
                <w:sz w:val="22"/>
                <w:szCs w:val="22"/>
              </w:rPr>
              <w:t>Рынок услуг общего образования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AF1164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0364A6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0364A6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0364A6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63,3</w:t>
            </w:r>
          </w:p>
        </w:tc>
      </w:tr>
      <w:tr w:rsidR="00055A42" w:rsidRPr="00A656DC" w:rsidTr="00637143">
        <w:trPr>
          <w:trHeight w:val="27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42" w:rsidRPr="00A656DC" w:rsidRDefault="00055A42" w:rsidP="00A656DC">
            <w:pPr>
              <w:rPr>
                <w:sz w:val="22"/>
                <w:szCs w:val="22"/>
              </w:rPr>
            </w:pPr>
            <w:r w:rsidRPr="00A656DC">
              <w:rPr>
                <w:sz w:val="22"/>
                <w:szCs w:val="22"/>
              </w:rPr>
              <w:t>Рынок услуг среднего профессионального образования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AF1164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AF1164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0364A6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0364A6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0364A6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65,8</w:t>
            </w:r>
          </w:p>
        </w:tc>
      </w:tr>
      <w:tr w:rsidR="00055A42" w:rsidRPr="00A656DC" w:rsidTr="00637143">
        <w:trPr>
          <w:trHeight w:val="257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42" w:rsidRPr="00A656DC" w:rsidRDefault="00055A42" w:rsidP="00A656DC">
            <w:pPr>
              <w:rPr>
                <w:sz w:val="22"/>
                <w:szCs w:val="22"/>
              </w:rPr>
            </w:pPr>
            <w:r w:rsidRPr="00A656DC">
              <w:rPr>
                <w:sz w:val="22"/>
                <w:szCs w:val="22"/>
              </w:rPr>
              <w:t>Рынок услуг детского отдыха и оздоровления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2,7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AF1164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AF1164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0364A6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0364A6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0364A6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65,2</w:t>
            </w:r>
          </w:p>
        </w:tc>
      </w:tr>
      <w:tr w:rsidR="00055A42" w:rsidRPr="00A656DC" w:rsidTr="00637143">
        <w:trPr>
          <w:trHeight w:val="223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42" w:rsidRPr="00A656DC" w:rsidRDefault="00055A42" w:rsidP="00A656DC">
            <w:pPr>
              <w:rPr>
                <w:sz w:val="22"/>
                <w:szCs w:val="22"/>
              </w:rPr>
            </w:pPr>
            <w:r w:rsidRPr="00A656DC">
              <w:rPr>
                <w:sz w:val="22"/>
                <w:szCs w:val="22"/>
              </w:rPr>
              <w:t>Рынок услуг дополнительного образования детей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2,7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AF1164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AF1164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0364A6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0364A6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0364A6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63,0</w:t>
            </w:r>
          </w:p>
        </w:tc>
      </w:tr>
      <w:tr w:rsidR="00055A42" w:rsidRPr="00A656DC" w:rsidTr="00637143">
        <w:trPr>
          <w:trHeight w:val="5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42" w:rsidRPr="00A656DC" w:rsidRDefault="00055A42" w:rsidP="00A656DC">
            <w:pPr>
              <w:rPr>
                <w:sz w:val="22"/>
                <w:szCs w:val="22"/>
              </w:rPr>
            </w:pPr>
            <w:r w:rsidRPr="00A656DC">
              <w:rPr>
                <w:sz w:val="22"/>
                <w:szCs w:val="22"/>
              </w:rPr>
              <w:lastRenderedPageBreak/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20,1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0364A6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0364A6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0364A6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71,5</w:t>
            </w:r>
          </w:p>
        </w:tc>
      </w:tr>
      <w:tr w:rsidR="00055A42" w:rsidRPr="00A656DC" w:rsidTr="00637143">
        <w:trPr>
          <w:trHeight w:val="39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42" w:rsidRPr="00A656DC" w:rsidRDefault="00055A42" w:rsidP="00A656DC">
            <w:pPr>
              <w:rPr>
                <w:sz w:val="22"/>
                <w:szCs w:val="22"/>
              </w:rPr>
            </w:pPr>
            <w:r w:rsidRPr="00A656DC">
              <w:rPr>
                <w:sz w:val="22"/>
                <w:szCs w:val="22"/>
              </w:rPr>
              <w:t>Рынок теплоснабжения (производство тепловой энергии)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30,9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63,2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0364A6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0364A6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0364A6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65,5</w:t>
            </w:r>
          </w:p>
        </w:tc>
      </w:tr>
      <w:tr w:rsidR="00055A42" w:rsidRPr="00A656DC" w:rsidTr="00637143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42" w:rsidRPr="00A656DC" w:rsidRDefault="00055A42" w:rsidP="00A656DC">
            <w:pPr>
              <w:rPr>
                <w:sz w:val="22"/>
                <w:szCs w:val="22"/>
              </w:rPr>
            </w:pPr>
            <w:r w:rsidRPr="00A656DC">
              <w:rPr>
                <w:sz w:val="22"/>
                <w:szCs w:val="22"/>
              </w:rPr>
              <w:t>Рынок услуг по сбору и транспортированию твердыхкоммунальных отходов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32,5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59,3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0364A6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0364A6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0364A6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61,0</w:t>
            </w:r>
          </w:p>
        </w:tc>
      </w:tr>
      <w:tr w:rsidR="00055A42" w:rsidRPr="00A656DC" w:rsidTr="00637143">
        <w:trPr>
          <w:trHeight w:val="17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42" w:rsidRPr="00A656DC" w:rsidRDefault="00055A42" w:rsidP="00A656DC">
            <w:pPr>
              <w:rPr>
                <w:sz w:val="22"/>
                <w:szCs w:val="22"/>
              </w:rPr>
            </w:pPr>
            <w:r w:rsidRPr="00A656DC">
              <w:rPr>
                <w:sz w:val="22"/>
                <w:szCs w:val="22"/>
              </w:rPr>
              <w:t>Рынок поставки сжиженного газа в баллонах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85,2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0364A6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DF6A57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="000364A6">
              <w:rPr>
                <w:b/>
                <w:color w:val="000000"/>
                <w:sz w:val="22"/>
                <w:szCs w:val="22"/>
              </w:rPr>
              <w:t>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DF6A57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81,9</w:t>
            </w:r>
          </w:p>
        </w:tc>
      </w:tr>
      <w:tr w:rsidR="00055A42" w:rsidRPr="00A656DC" w:rsidTr="00637143">
        <w:trPr>
          <w:trHeight w:val="60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42" w:rsidRPr="00A656DC" w:rsidRDefault="00055A42" w:rsidP="00A656DC">
            <w:pPr>
              <w:rPr>
                <w:sz w:val="22"/>
                <w:szCs w:val="22"/>
              </w:rPr>
            </w:pPr>
            <w:r w:rsidRPr="00A656DC">
              <w:rPr>
                <w:sz w:val="22"/>
                <w:szCs w:val="22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33,9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60,1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0364A6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0364A6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0364A6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58,0</w:t>
            </w:r>
          </w:p>
        </w:tc>
      </w:tr>
      <w:tr w:rsidR="00055A42" w:rsidRPr="00A656DC" w:rsidTr="00637143">
        <w:trPr>
          <w:trHeight w:val="60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42" w:rsidRPr="00A656DC" w:rsidRDefault="00055A42" w:rsidP="00A656DC">
            <w:pPr>
              <w:rPr>
                <w:sz w:val="22"/>
                <w:szCs w:val="22"/>
              </w:rPr>
            </w:pPr>
            <w:r w:rsidRPr="00A656DC">
              <w:rPr>
                <w:sz w:val="22"/>
                <w:szCs w:val="22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30,6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61,8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0364A6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0364A6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0364A6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61,0</w:t>
            </w:r>
          </w:p>
        </w:tc>
      </w:tr>
      <w:tr w:rsidR="00055A42" w:rsidRPr="00A656DC" w:rsidTr="00637143">
        <w:trPr>
          <w:trHeight w:val="60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42" w:rsidRPr="00A656DC" w:rsidRDefault="00055A42" w:rsidP="00A656DC">
            <w:pPr>
              <w:rPr>
                <w:sz w:val="22"/>
                <w:szCs w:val="22"/>
              </w:rPr>
            </w:pPr>
            <w:r w:rsidRPr="00A656DC">
              <w:rPr>
                <w:sz w:val="22"/>
                <w:szCs w:val="22"/>
              </w:rPr>
              <w:t>Рынок услуг перевозок пассажиров автомобильным транспортом  по муниципальным маршрутам регулярных перевозок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37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0364A6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0364A6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0364A6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56,9</w:t>
            </w:r>
          </w:p>
        </w:tc>
      </w:tr>
      <w:tr w:rsidR="00055A42" w:rsidRPr="00A656DC" w:rsidTr="00637143">
        <w:trPr>
          <w:trHeight w:val="60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42" w:rsidRPr="00A656DC" w:rsidRDefault="00055A42" w:rsidP="00A656DC">
            <w:pPr>
              <w:rPr>
                <w:sz w:val="22"/>
                <w:szCs w:val="22"/>
              </w:rPr>
            </w:pPr>
            <w:r w:rsidRPr="00A656DC">
              <w:rPr>
                <w:sz w:val="22"/>
                <w:szCs w:val="22"/>
              </w:rPr>
              <w:t>Рынок услуг перевозок пассажиров автомобильным транспортом  по межмуниципальным маршрутам регулярных перевозок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28,1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63,5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0364A6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0364A6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0364A6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63,3</w:t>
            </w:r>
          </w:p>
        </w:tc>
      </w:tr>
      <w:tr w:rsidR="00055A42" w:rsidRPr="00A656DC" w:rsidTr="00637143">
        <w:trPr>
          <w:trHeight w:val="60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42" w:rsidRPr="00A656DC" w:rsidRDefault="00055A42" w:rsidP="00A656DC">
            <w:pPr>
              <w:rPr>
                <w:sz w:val="22"/>
                <w:szCs w:val="22"/>
              </w:rPr>
            </w:pPr>
            <w:r w:rsidRPr="00A656DC">
              <w:rPr>
                <w:sz w:val="22"/>
                <w:szCs w:val="22"/>
              </w:rPr>
              <w:t>Рынок оказания услуг по перевозке пассажиров и багажа легковым такси на территории Ставропольского края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26,7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60,4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0364A6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DF6A57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DF6A57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65,7</w:t>
            </w:r>
          </w:p>
        </w:tc>
      </w:tr>
      <w:tr w:rsidR="00055A42" w:rsidRPr="00A656DC" w:rsidTr="00637143">
        <w:trPr>
          <w:trHeight w:val="49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42" w:rsidRPr="00A656DC" w:rsidRDefault="00055A42" w:rsidP="00A656DC">
            <w:pPr>
              <w:rPr>
                <w:sz w:val="22"/>
                <w:szCs w:val="22"/>
              </w:rPr>
            </w:pPr>
            <w:r w:rsidRPr="00A656DC">
              <w:rPr>
                <w:sz w:val="22"/>
                <w:szCs w:val="22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60,1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0364A6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8A7A3F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8A7A3F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36,4</w:t>
            </w:r>
          </w:p>
        </w:tc>
      </w:tr>
      <w:tr w:rsidR="00055A42" w:rsidRPr="00A656DC" w:rsidTr="00637143">
        <w:trPr>
          <w:trHeight w:val="237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42" w:rsidRPr="00A656DC" w:rsidRDefault="00055A42" w:rsidP="00A656DC">
            <w:pPr>
              <w:rPr>
                <w:sz w:val="22"/>
                <w:szCs w:val="22"/>
              </w:rPr>
            </w:pPr>
            <w:r w:rsidRPr="00A656DC">
              <w:rPr>
                <w:sz w:val="22"/>
                <w:szCs w:val="22"/>
              </w:rPr>
              <w:t xml:space="preserve">Рынок  социальных услуг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48,1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44,5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0364A6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0364A6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0364A6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46,5</w:t>
            </w:r>
          </w:p>
        </w:tc>
      </w:tr>
      <w:tr w:rsidR="00055A42" w:rsidRPr="00A656DC" w:rsidTr="00637143">
        <w:trPr>
          <w:trHeight w:val="25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42" w:rsidRPr="00A656DC" w:rsidRDefault="00055A42" w:rsidP="00A656DC">
            <w:pPr>
              <w:rPr>
                <w:sz w:val="22"/>
                <w:szCs w:val="22"/>
              </w:rPr>
            </w:pPr>
            <w:r w:rsidRPr="00A656DC">
              <w:rPr>
                <w:sz w:val="22"/>
                <w:szCs w:val="22"/>
              </w:rPr>
              <w:t>Рынок медицинских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27,8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60,7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0364A6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0364A6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0364A6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61,0</w:t>
            </w:r>
          </w:p>
        </w:tc>
      </w:tr>
      <w:tr w:rsidR="00055A42" w:rsidRPr="00A656DC" w:rsidTr="00637143">
        <w:trPr>
          <w:trHeight w:val="28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42" w:rsidRPr="00A656DC" w:rsidRDefault="00055A42" w:rsidP="00A656DC">
            <w:pPr>
              <w:rPr>
                <w:sz w:val="22"/>
                <w:szCs w:val="22"/>
              </w:rPr>
            </w:pPr>
            <w:r w:rsidRPr="00A656DC">
              <w:rPr>
                <w:sz w:val="22"/>
                <w:szCs w:val="22"/>
              </w:rPr>
              <w:t>Рынок санаторно-курортных и туристических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8,3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84,9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0364A6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DF6A57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DF6A57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83,8</w:t>
            </w:r>
          </w:p>
        </w:tc>
      </w:tr>
      <w:tr w:rsidR="00055A42" w:rsidRPr="00A656DC" w:rsidTr="00637143">
        <w:trPr>
          <w:trHeight w:val="277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42" w:rsidRPr="00A656DC" w:rsidRDefault="00055A42" w:rsidP="00A656DC">
            <w:pPr>
              <w:rPr>
                <w:sz w:val="22"/>
                <w:szCs w:val="22"/>
              </w:rPr>
            </w:pPr>
            <w:r w:rsidRPr="00A656DC">
              <w:rPr>
                <w:sz w:val="22"/>
                <w:szCs w:val="22"/>
              </w:rPr>
              <w:t>Рынок реализации сельскохозяйственной продукции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50,1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39,8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1C5BBD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1C5BBD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1C5BBD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39,5</w:t>
            </w:r>
          </w:p>
        </w:tc>
      </w:tr>
      <w:tr w:rsidR="00055A42" w:rsidRPr="00A656DC" w:rsidTr="00637143">
        <w:trPr>
          <w:trHeight w:val="27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42" w:rsidRPr="00A656DC" w:rsidRDefault="00055A42" w:rsidP="00A656DC">
            <w:pPr>
              <w:rPr>
                <w:sz w:val="22"/>
                <w:szCs w:val="22"/>
              </w:rPr>
            </w:pPr>
            <w:r w:rsidRPr="00A656DC">
              <w:rPr>
                <w:sz w:val="22"/>
                <w:szCs w:val="22"/>
              </w:rPr>
              <w:t>Рынок племенного животноводства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11,1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81,1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1C5BBD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8A7A3F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8A7A3F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80,8</w:t>
            </w:r>
          </w:p>
        </w:tc>
      </w:tr>
      <w:tr w:rsidR="00055A42" w:rsidRPr="00A656DC" w:rsidTr="00637143">
        <w:trPr>
          <w:trHeight w:val="23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42" w:rsidRPr="00A656DC" w:rsidRDefault="00055A42" w:rsidP="00A656DC">
            <w:pPr>
              <w:rPr>
                <w:sz w:val="22"/>
                <w:szCs w:val="22"/>
              </w:rPr>
            </w:pPr>
            <w:r w:rsidRPr="00A656DC">
              <w:rPr>
                <w:sz w:val="22"/>
                <w:szCs w:val="22"/>
              </w:rPr>
              <w:t>Рынок семеноводства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7,2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87,4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1C5BBD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8A7A3F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8A7A3F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87,1</w:t>
            </w:r>
          </w:p>
        </w:tc>
      </w:tr>
      <w:tr w:rsidR="00055A42" w:rsidRPr="00A656DC" w:rsidTr="00637143">
        <w:trPr>
          <w:trHeight w:val="189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42" w:rsidRPr="00A656DC" w:rsidRDefault="00055A42" w:rsidP="00A656DC">
            <w:pPr>
              <w:rPr>
                <w:sz w:val="22"/>
                <w:szCs w:val="22"/>
              </w:rPr>
            </w:pPr>
            <w:r w:rsidRPr="00A656DC">
              <w:rPr>
                <w:sz w:val="22"/>
                <w:szCs w:val="22"/>
              </w:rPr>
              <w:t>Рынок вылова водных биоресурсов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37,6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54,8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1C5BBD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1C5BBD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1C5BBD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55,6</w:t>
            </w:r>
          </w:p>
        </w:tc>
      </w:tr>
      <w:tr w:rsidR="00055A42" w:rsidRPr="00A656DC" w:rsidTr="00637143">
        <w:trPr>
          <w:trHeight w:val="297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42" w:rsidRPr="00A656DC" w:rsidRDefault="00055A42" w:rsidP="00A656DC">
            <w:pPr>
              <w:rPr>
                <w:sz w:val="22"/>
                <w:szCs w:val="22"/>
              </w:rPr>
            </w:pPr>
            <w:r w:rsidRPr="00A656DC">
              <w:rPr>
                <w:sz w:val="22"/>
                <w:szCs w:val="22"/>
              </w:rPr>
              <w:t>Рынок переработки водных биоресурсов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30,6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59,6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1C5BBD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1C5BBD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1C5BBD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60,0</w:t>
            </w:r>
          </w:p>
        </w:tc>
      </w:tr>
      <w:tr w:rsidR="00055A42" w:rsidRPr="00A656DC" w:rsidTr="00637143">
        <w:trPr>
          <w:trHeight w:val="263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42" w:rsidRPr="00A656DC" w:rsidRDefault="00055A42" w:rsidP="00A656DC">
            <w:pPr>
              <w:rPr>
                <w:sz w:val="22"/>
                <w:szCs w:val="22"/>
              </w:rPr>
            </w:pPr>
            <w:r w:rsidRPr="00A656DC">
              <w:rPr>
                <w:sz w:val="22"/>
                <w:szCs w:val="22"/>
              </w:rPr>
              <w:t>Рынок товарной аквакультуры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33,4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61,5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1C5BBD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1C5BBD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1C5BBD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60,3</w:t>
            </w:r>
          </w:p>
        </w:tc>
      </w:tr>
      <w:tr w:rsidR="00055A42" w:rsidRPr="00A656DC" w:rsidTr="00637143">
        <w:trPr>
          <w:trHeight w:val="21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42" w:rsidRPr="00A656DC" w:rsidRDefault="00055A42" w:rsidP="00A656DC">
            <w:pPr>
              <w:rPr>
                <w:sz w:val="22"/>
                <w:szCs w:val="22"/>
              </w:rPr>
            </w:pPr>
            <w:r w:rsidRPr="00A656DC">
              <w:rPr>
                <w:sz w:val="22"/>
                <w:szCs w:val="22"/>
              </w:rPr>
              <w:t>Рынок ремонта автотранспортных средств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31,4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1C5BBD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8A7A3F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8A7A3F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55,9</w:t>
            </w:r>
          </w:p>
        </w:tc>
      </w:tr>
      <w:tr w:rsidR="00055A42" w:rsidRPr="00A656DC" w:rsidTr="00637143">
        <w:trPr>
          <w:trHeight w:val="171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42" w:rsidRPr="00A656DC" w:rsidRDefault="00055A42" w:rsidP="00A656DC">
            <w:pPr>
              <w:rPr>
                <w:sz w:val="22"/>
                <w:szCs w:val="22"/>
              </w:rPr>
            </w:pPr>
            <w:r w:rsidRPr="00A656DC">
              <w:rPr>
                <w:sz w:val="22"/>
                <w:szCs w:val="22"/>
              </w:rPr>
              <w:t>Рынок ритуальных услуг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35,6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57,6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1C5BBD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1C5BBD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1C5BBD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58,0</w:t>
            </w:r>
          </w:p>
        </w:tc>
      </w:tr>
      <w:tr w:rsidR="00055A42" w:rsidRPr="00A656DC" w:rsidTr="00637143">
        <w:trPr>
          <w:trHeight w:val="27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42" w:rsidRPr="00A656DC" w:rsidRDefault="00055A42" w:rsidP="00A656DC">
            <w:pPr>
              <w:rPr>
                <w:sz w:val="22"/>
                <w:szCs w:val="22"/>
              </w:rPr>
            </w:pPr>
            <w:r w:rsidRPr="00A656DC">
              <w:rPr>
                <w:sz w:val="22"/>
                <w:szCs w:val="22"/>
              </w:rPr>
              <w:t>Сфера наружной рекламы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34,5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59,6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1C5BBD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1C5BBD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1C5BBD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53,4</w:t>
            </w:r>
          </w:p>
        </w:tc>
      </w:tr>
      <w:tr w:rsidR="00055A42" w:rsidRPr="00A656DC" w:rsidTr="00637143">
        <w:trPr>
          <w:trHeight w:val="17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42" w:rsidRPr="00A656DC" w:rsidRDefault="00055A42" w:rsidP="00A656DC">
            <w:pPr>
              <w:rPr>
                <w:sz w:val="22"/>
                <w:szCs w:val="22"/>
              </w:rPr>
            </w:pPr>
            <w:r w:rsidRPr="00A656DC">
              <w:rPr>
                <w:sz w:val="22"/>
                <w:szCs w:val="22"/>
              </w:rPr>
              <w:t>Рынок жилищного строительства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6,9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85,2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78562C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8A7A3F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8A7A3F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84,9</w:t>
            </w:r>
          </w:p>
        </w:tc>
      </w:tr>
      <w:tr w:rsidR="00055A42" w:rsidRPr="00A656DC" w:rsidTr="00637143">
        <w:trPr>
          <w:trHeight w:val="41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42" w:rsidRPr="00A656DC" w:rsidRDefault="00055A42" w:rsidP="00A656DC">
            <w:pPr>
              <w:rPr>
                <w:sz w:val="22"/>
                <w:szCs w:val="22"/>
              </w:rPr>
            </w:pPr>
            <w:r w:rsidRPr="00A656DC">
              <w:rPr>
                <w:sz w:val="22"/>
                <w:szCs w:val="22"/>
              </w:rPr>
              <w:t xml:space="preserve">Рынок дорожной деятельности (за исключением проектирования)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11,4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80,7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78562C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8A7A3F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8A7A3F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82,5</w:t>
            </w:r>
          </w:p>
        </w:tc>
      </w:tr>
      <w:tr w:rsidR="00055A42" w:rsidRPr="00A656DC" w:rsidTr="00637143">
        <w:trPr>
          <w:trHeight w:val="23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42" w:rsidRPr="00A656DC" w:rsidRDefault="00055A42" w:rsidP="00A656DC">
            <w:pPr>
              <w:rPr>
                <w:sz w:val="22"/>
                <w:szCs w:val="22"/>
              </w:rPr>
            </w:pPr>
            <w:r w:rsidRPr="00A656DC">
              <w:rPr>
                <w:sz w:val="22"/>
                <w:szCs w:val="22"/>
              </w:rPr>
              <w:t>Рынок архитектурно-строительного проектирования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81,6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78562C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8A7A3F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8A7A3F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81,9</w:t>
            </w:r>
          </w:p>
        </w:tc>
      </w:tr>
      <w:tr w:rsidR="00055A42" w:rsidRPr="00A656DC" w:rsidTr="00637143">
        <w:trPr>
          <w:trHeight w:val="269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42" w:rsidRPr="00A656DC" w:rsidRDefault="00055A42" w:rsidP="00A656DC">
            <w:pPr>
              <w:rPr>
                <w:sz w:val="22"/>
                <w:szCs w:val="22"/>
              </w:rPr>
            </w:pPr>
            <w:r w:rsidRPr="00A656DC">
              <w:rPr>
                <w:sz w:val="22"/>
                <w:szCs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88,3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78562C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8A7A3F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8A7A3F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85,5</w:t>
            </w:r>
          </w:p>
        </w:tc>
      </w:tr>
      <w:tr w:rsidR="00055A42" w:rsidRPr="00A656DC" w:rsidTr="001078BC">
        <w:trPr>
          <w:trHeight w:val="53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42" w:rsidRPr="00A656DC" w:rsidRDefault="00055A42" w:rsidP="00A656DC">
            <w:pPr>
              <w:rPr>
                <w:sz w:val="22"/>
                <w:szCs w:val="22"/>
              </w:rPr>
            </w:pPr>
            <w:r w:rsidRPr="00A656DC">
              <w:rPr>
                <w:sz w:val="22"/>
                <w:szCs w:val="22"/>
              </w:rPr>
              <w:t>Рынок легкой промышленности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86,9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78562C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8A7A3F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8A7A3F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88,5</w:t>
            </w:r>
          </w:p>
        </w:tc>
      </w:tr>
      <w:tr w:rsidR="00055A42" w:rsidRPr="00A656DC" w:rsidTr="00637143">
        <w:trPr>
          <w:trHeight w:val="53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42" w:rsidRPr="00A656DC" w:rsidRDefault="00055A42" w:rsidP="00A656DC">
            <w:pPr>
              <w:rPr>
                <w:sz w:val="22"/>
                <w:szCs w:val="22"/>
              </w:rPr>
            </w:pPr>
            <w:r w:rsidRPr="00A656DC">
              <w:rPr>
                <w:sz w:val="22"/>
                <w:szCs w:val="22"/>
              </w:rPr>
              <w:t>Рынок обработки древесины и производства изделий из дерева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33,9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59,3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78562C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78562C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78562C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59,7</w:t>
            </w:r>
          </w:p>
        </w:tc>
      </w:tr>
      <w:tr w:rsidR="00055A42" w:rsidRPr="00A656DC" w:rsidTr="001078BC">
        <w:trPr>
          <w:trHeight w:val="39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42" w:rsidRPr="00A656DC" w:rsidRDefault="00055A42" w:rsidP="00A656DC">
            <w:pPr>
              <w:rPr>
                <w:sz w:val="22"/>
                <w:szCs w:val="22"/>
              </w:rPr>
            </w:pPr>
            <w:r w:rsidRPr="00A656DC">
              <w:rPr>
                <w:sz w:val="22"/>
                <w:szCs w:val="22"/>
              </w:rPr>
              <w:t>Рынок производства кирпича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8,9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85,2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78562C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8A7A3F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8A7A3F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86,8</w:t>
            </w:r>
          </w:p>
        </w:tc>
      </w:tr>
      <w:tr w:rsidR="00055A42" w:rsidRPr="00A656DC" w:rsidTr="001078BC">
        <w:trPr>
          <w:trHeight w:val="411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42" w:rsidRPr="00A656DC" w:rsidRDefault="00055A42" w:rsidP="00A656DC">
            <w:pPr>
              <w:rPr>
                <w:sz w:val="22"/>
                <w:szCs w:val="22"/>
              </w:rPr>
            </w:pPr>
            <w:r w:rsidRPr="00A656DC">
              <w:rPr>
                <w:sz w:val="22"/>
                <w:szCs w:val="22"/>
              </w:rPr>
              <w:t>Рынок производства бетона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6,1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89,4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78562C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8A7A3F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8A7A3F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88,5</w:t>
            </w:r>
          </w:p>
        </w:tc>
      </w:tr>
      <w:tr w:rsidR="00055A42" w:rsidRPr="00A656DC" w:rsidTr="001078BC">
        <w:trPr>
          <w:trHeight w:val="41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42" w:rsidRPr="00A656DC" w:rsidRDefault="00055A42" w:rsidP="00A656DC">
            <w:pPr>
              <w:rPr>
                <w:sz w:val="22"/>
                <w:szCs w:val="22"/>
              </w:rPr>
            </w:pPr>
            <w:r w:rsidRPr="00A656DC">
              <w:rPr>
                <w:sz w:val="22"/>
                <w:szCs w:val="22"/>
              </w:rPr>
              <w:t>Рынок нефтепродуктов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71,5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23,1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78562C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78562C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78562C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23,8</w:t>
            </w:r>
          </w:p>
        </w:tc>
      </w:tr>
      <w:tr w:rsidR="00055A42" w:rsidRPr="00A656DC" w:rsidTr="00637143">
        <w:trPr>
          <w:trHeight w:val="60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42" w:rsidRPr="00A656DC" w:rsidRDefault="00055A42" w:rsidP="00A656DC">
            <w:pPr>
              <w:rPr>
                <w:sz w:val="22"/>
                <w:szCs w:val="22"/>
              </w:rPr>
            </w:pPr>
            <w:r w:rsidRPr="00A656DC">
              <w:rPr>
                <w:sz w:val="22"/>
                <w:szCs w:val="22"/>
              </w:rPr>
              <w:t>Рынок розничной торговли лекарственными препаратами,  медицинскими изделиями и сопутствующими товарами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61,5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31,7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78562C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8A7A3F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8A7A3F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29,6</w:t>
            </w:r>
          </w:p>
        </w:tc>
      </w:tr>
      <w:tr w:rsidR="00055A42" w:rsidRPr="00A656DC" w:rsidTr="00637143">
        <w:trPr>
          <w:trHeight w:val="29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42" w:rsidRPr="00A656DC" w:rsidRDefault="00055A42" w:rsidP="00A656DC">
            <w:pPr>
              <w:rPr>
                <w:sz w:val="22"/>
                <w:szCs w:val="22"/>
              </w:rPr>
            </w:pPr>
            <w:r w:rsidRPr="00A656DC">
              <w:rPr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57,6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33,7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78562C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78562C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78562C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44,9</w:t>
            </w:r>
          </w:p>
        </w:tc>
      </w:tr>
      <w:tr w:rsidR="00055A42" w:rsidRPr="00A656DC" w:rsidTr="00637143">
        <w:trPr>
          <w:trHeight w:val="73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A42" w:rsidRPr="00A656DC" w:rsidRDefault="00055A42" w:rsidP="00A656DC">
            <w:pPr>
              <w:rPr>
                <w:sz w:val="22"/>
                <w:szCs w:val="22"/>
              </w:rPr>
            </w:pPr>
            <w:r w:rsidRPr="00A656DC">
              <w:rPr>
                <w:sz w:val="22"/>
                <w:szCs w:val="22"/>
              </w:rPr>
              <w:lastRenderedPageBreak/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34,2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5A42" w:rsidRPr="00A656DC" w:rsidRDefault="00055A42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6DC">
              <w:rPr>
                <w:b/>
                <w:color w:val="000000"/>
                <w:sz w:val="22"/>
                <w:szCs w:val="22"/>
              </w:rPr>
              <w:t>59,6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1C5BBD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8A7A3F" w:rsidP="001C5BB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55A42" w:rsidRPr="00A656DC" w:rsidRDefault="008A7A3F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60,5</w:t>
            </w:r>
          </w:p>
        </w:tc>
      </w:tr>
      <w:tr w:rsidR="0078562C" w:rsidRPr="00A656DC" w:rsidTr="001078BC">
        <w:trPr>
          <w:trHeight w:val="558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2C" w:rsidRPr="00BE4FFD" w:rsidRDefault="0078562C" w:rsidP="007856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562C" w:rsidRPr="00A656DC" w:rsidRDefault="0078562C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562C" w:rsidRPr="00A656DC" w:rsidRDefault="0078562C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562C" w:rsidRPr="00A656DC" w:rsidRDefault="0078562C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8562C" w:rsidRDefault="0078562C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8562C" w:rsidRDefault="008A7A3F" w:rsidP="001C5BB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8562C" w:rsidRDefault="008A7A3F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82,4</w:t>
            </w:r>
          </w:p>
        </w:tc>
      </w:tr>
      <w:tr w:rsidR="0078562C" w:rsidRPr="00A656DC" w:rsidTr="001078BC">
        <w:trPr>
          <w:trHeight w:val="417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2C" w:rsidRPr="00BE4FFD" w:rsidRDefault="0078562C" w:rsidP="007856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Рынок кадастровых и землеустроительных работ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562C" w:rsidRPr="00A656DC" w:rsidRDefault="0078562C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562C" w:rsidRPr="00A656DC" w:rsidRDefault="0078562C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562C" w:rsidRPr="00A656DC" w:rsidRDefault="0078562C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8562C" w:rsidRDefault="0078562C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8562C" w:rsidRDefault="008A7A3F" w:rsidP="001C5BB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8562C" w:rsidRDefault="008A7A3F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83,6</w:t>
            </w:r>
          </w:p>
        </w:tc>
      </w:tr>
      <w:tr w:rsidR="0078562C" w:rsidRPr="00A656DC" w:rsidTr="00637143">
        <w:trPr>
          <w:trHeight w:val="187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2C" w:rsidRPr="00BE4FFD" w:rsidRDefault="0078562C" w:rsidP="007856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562C" w:rsidRPr="00A656DC" w:rsidRDefault="0078562C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562C" w:rsidRPr="00A656DC" w:rsidRDefault="0078562C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562C" w:rsidRPr="00A656DC" w:rsidRDefault="0078562C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8562C" w:rsidRDefault="0078562C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8562C" w:rsidRDefault="008A7A3F" w:rsidP="001C5BB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8562C" w:rsidRDefault="008A7A3F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85,2</w:t>
            </w:r>
          </w:p>
        </w:tc>
      </w:tr>
      <w:tr w:rsidR="0078562C" w:rsidRPr="00A656DC" w:rsidTr="001078BC">
        <w:trPr>
          <w:trHeight w:val="472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2C" w:rsidRPr="00BE4FFD" w:rsidRDefault="0078562C" w:rsidP="007856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Рынок минеральной воды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562C" w:rsidRPr="00A656DC" w:rsidRDefault="0078562C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562C" w:rsidRPr="00A656DC" w:rsidRDefault="0078562C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562C" w:rsidRPr="00A656DC" w:rsidRDefault="0078562C" w:rsidP="00055A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8562C" w:rsidRDefault="0078562C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8562C" w:rsidRDefault="008A7A3F" w:rsidP="001C5BB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8562C" w:rsidRDefault="008A7A3F" w:rsidP="00A65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87,1</w:t>
            </w:r>
          </w:p>
        </w:tc>
      </w:tr>
    </w:tbl>
    <w:p w:rsidR="00E90DF6" w:rsidRDefault="00E90DF6" w:rsidP="004D6428">
      <w:pPr>
        <w:ind w:firstLine="709"/>
        <w:jc w:val="both"/>
      </w:pPr>
    </w:p>
    <w:p w:rsidR="007F1336" w:rsidRPr="001F6518" w:rsidRDefault="00E90DF6" w:rsidP="004D6428">
      <w:pPr>
        <w:ind w:firstLine="709"/>
        <w:jc w:val="both"/>
        <w:rPr>
          <w:sz w:val="28"/>
          <w:szCs w:val="28"/>
        </w:rPr>
      </w:pPr>
      <w:r w:rsidRPr="001F6518">
        <w:rPr>
          <w:sz w:val="28"/>
          <w:szCs w:val="28"/>
        </w:rPr>
        <w:t>По мнению большинства участников опрошенных в течение последних трех лет увеличилось количество организаций розничной торговли лекарственными препаратами, медицинскими изделиями и сопутствующими товарами, количество организаций, предоставляющих услуги по благоустройству городской среды</w:t>
      </w:r>
      <w:r w:rsidR="001F6518" w:rsidRPr="001F6518">
        <w:rPr>
          <w:sz w:val="28"/>
          <w:szCs w:val="28"/>
        </w:rPr>
        <w:t xml:space="preserve">, связи, в том числе услуг по предоставлению широкополосного доступа к сети Интернет. </w:t>
      </w:r>
      <w:r w:rsidRPr="001F6518">
        <w:rPr>
          <w:sz w:val="28"/>
          <w:szCs w:val="28"/>
        </w:rPr>
        <w:t xml:space="preserve">Это свидетельствует о стабильном развитии данного сектора экономики. </w:t>
      </w:r>
    </w:p>
    <w:p w:rsidR="001F6518" w:rsidRPr="007F1336" w:rsidRDefault="001F6518" w:rsidP="004D6428">
      <w:pPr>
        <w:ind w:firstLine="709"/>
        <w:jc w:val="both"/>
        <w:rPr>
          <w:sz w:val="28"/>
          <w:szCs w:val="28"/>
        </w:rPr>
      </w:pPr>
    </w:p>
    <w:p w:rsidR="009D11EC" w:rsidRDefault="009D11EC" w:rsidP="001F6518">
      <w:pPr>
        <w:pStyle w:val="a7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Динамика </w:t>
      </w:r>
      <w:proofErr w:type="gramStart"/>
      <w:r>
        <w:rPr>
          <w:b/>
          <w:sz w:val="28"/>
          <w:szCs w:val="28"/>
        </w:rPr>
        <w:t>оценки качества услуг субъектов естественных монополий</w:t>
      </w:r>
      <w:proofErr w:type="gramEnd"/>
      <w:r>
        <w:rPr>
          <w:b/>
          <w:sz w:val="28"/>
          <w:szCs w:val="28"/>
        </w:rPr>
        <w:t xml:space="preserve"> в сравнении с прошлым годом.</w:t>
      </w:r>
    </w:p>
    <w:p w:rsidR="009D11EC" w:rsidRPr="009D11EC" w:rsidRDefault="009D11EC" w:rsidP="009D11EC">
      <w:pPr>
        <w:pStyle w:val="a7"/>
        <w:ind w:left="1070"/>
        <w:rPr>
          <w:b/>
          <w:sz w:val="28"/>
          <w:szCs w:val="28"/>
        </w:rPr>
      </w:pPr>
    </w:p>
    <w:p w:rsidR="00FE2392" w:rsidRDefault="0038614A" w:rsidP="00EC30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</w:t>
      </w:r>
      <w:r w:rsidR="00CD5A4D">
        <w:rPr>
          <w:sz w:val="28"/>
          <w:szCs w:val="28"/>
        </w:rPr>
        <w:t xml:space="preserve"> проведенного опроса, </w:t>
      </w:r>
      <w:r w:rsidR="00FE2392">
        <w:rPr>
          <w:sz w:val="28"/>
          <w:szCs w:val="28"/>
        </w:rPr>
        <w:t xml:space="preserve">количество </w:t>
      </w:r>
      <w:r w:rsidR="00CD5A4D">
        <w:rPr>
          <w:sz w:val="28"/>
          <w:szCs w:val="28"/>
        </w:rPr>
        <w:t xml:space="preserve">удовлетворенных качеством услуг предоставляемых субъектами естественных монополий на территории Петровского городского округа </w:t>
      </w:r>
      <w:r w:rsidR="00FE2392">
        <w:rPr>
          <w:sz w:val="28"/>
          <w:szCs w:val="28"/>
        </w:rPr>
        <w:t xml:space="preserve">в текущем году </w:t>
      </w:r>
      <w:r w:rsidR="00250685" w:rsidRPr="00250685">
        <w:rPr>
          <w:sz w:val="28"/>
          <w:szCs w:val="28"/>
        </w:rPr>
        <w:t>не</w:t>
      </w:r>
      <w:r w:rsidR="00FE2392" w:rsidRPr="00250685">
        <w:rPr>
          <w:sz w:val="28"/>
          <w:szCs w:val="28"/>
        </w:rPr>
        <w:t>значительно увеличилось</w:t>
      </w:r>
      <w:r w:rsidR="00FE2392">
        <w:rPr>
          <w:sz w:val="28"/>
          <w:szCs w:val="28"/>
        </w:rPr>
        <w:t xml:space="preserve"> и составило:</w:t>
      </w:r>
    </w:p>
    <w:p w:rsidR="004D6428" w:rsidRDefault="00FE2392" w:rsidP="00EC30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водоснабжение, водоотведение – </w:t>
      </w:r>
      <w:r w:rsidR="00250685">
        <w:rPr>
          <w:sz w:val="28"/>
          <w:szCs w:val="28"/>
        </w:rPr>
        <w:t>62,7</w:t>
      </w:r>
      <w:r>
        <w:rPr>
          <w:sz w:val="28"/>
          <w:szCs w:val="28"/>
        </w:rPr>
        <w:t>% (</w:t>
      </w:r>
      <w:r w:rsidR="00250685">
        <w:rPr>
          <w:sz w:val="28"/>
          <w:szCs w:val="28"/>
        </w:rPr>
        <w:t>59,3</w:t>
      </w:r>
      <w:r>
        <w:rPr>
          <w:sz w:val="28"/>
          <w:szCs w:val="28"/>
        </w:rPr>
        <w:t>%</w:t>
      </w:r>
      <w:r w:rsidR="00250685">
        <w:rPr>
          <w:sz w:val="28"/>
          <w:szCs w:val="28"/>
        </w:rPr>
        <w:t xml:space="preserve"> в 2019 году</w:t>
      </w:r>
      <w:r>
        <w:rPr>
          <w:sz w:val="28"/>
          <w:szCs w:val="28"/>
        </w:rPr>
        <w:t>);</w:t>
      </w:r>
    </w:p>
    <w:p w:rsidR="00FE2392" w:rsidRDefault="00FE2392" w:rsidP="00EC30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водоочистка – </w:t>
      </w:r>
      <w:r w:rsidR="00250685">
        <w:rPr>
          <w:sz w:val="28"/>
          <w:szCs w:val="28"/>
        </w:rPr>
        <w:t>49,0</w:t>
      </w:r>
      <w:r>
        <w:rPr>
          <w:sz w:val="28"/>
          <w:szCs w:val="28"/>
        </w:rPr>
        <w:t>% (</w:t>
      </w:r>
      <w:r w:rsidR="00250685">
        <w:rPr>
          <w:sz w:val="28"/>
          <w:szCs w:val="28"/>
        </w:rPr>
        <w:t>47,6</w:t>
      </w:r>
      <w:r>
        <w:rPr>
          <w:sz w:val="28"/>
          <w:szCs w:val="28"/>
        </w:rPr>
        <w:t>%</w:t>
      </w:r>
      <w:r w:rsidR="00250685">
        <w:rPr>
          <w:sz w:val="28"/>
          <w:szCs w:val="28"/>
        </w:rPr>
        <w:t xml:space="preserve"> в 2019</w:t>
      </w:r>
      <w:r w:rsidR="00B674B5">
        <w:rPr>
          <w:sz w:val="28"/>
          <w:szCs w:val="28"/>
        </w:rPr>
        <w:t xml:space="preserve"> году</w:t>
      </w:r>
      <w:r>
        <w:rPr>
          <w:sz w:val="28"/>
          <w:szCs w:val="28"/>
        </w:rPr>
        <w:t>);</w:t>
      </w:r>
    </w:p>
    <w:p w:rsidR="00FE2392" w:rsidRDefault="00FE2392" w:rsidP="00EC30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газоснабжение – </w:t>
      </w:r>
      <w:r w:rsidR="00812434">
        <w:rPr>
          <w:sz w:val="28"/>
          <w:szCs w:val="28"/>
        </w:rPr>
        <w:t>62</w:t>
      </w:r>
      <w:r w:rsidR="00250685">
        <w:rPr>
          <w:sz w:val="28"/>
          <w:szCs w:val="28"/>
        </w:rPr>
        <w:t>,4</w:t>
      </w:r>
      <w:r>
        <w:rPr>
          <w:sz w:val="28"/>
          <w:szCs w:val="28"/>
        </w:rPr>
        <w:t>% (</w:t>
      </w:r>
      <w:r w:rsidR="00250685">
        <w:rPr>
          <w:sz w:val="28"/>
          <w:szCs w:val="28"/>
        </w:rPr>
        <w:t>57,6</w:t>
      </w:r>
      <w:r>
        <w:rPr>
          <w:sz w:val="28"/>
          <w:szCs w:val="28"/>
        </w:rPr>
        <w:t>%</w:t>
      </w:r>
      <w:r w:rsidR="00250685">
        <w:rPr>
          <w:sz w:val="28"/>
          <w:szCs w:val="28"/>
        </w:rPr>
        <w:t xml:space="preserve"> в 2019</w:t>
      </w:r>
      <w:r w:rsidR="00B674B5">
        <w:rPr>
          <w:sz w:val="28"/>
          <w:szCs w:val="28"/>
        </w:rPr>
        <w:t xml:space="preserve"> году</w:t>
      </w:r>
      <w:r>
        <w:rPr>
          <w:sz w:val="28"/>
          <w:szCs w:val="28"/>
        </w:rPr>
        <w:t>);</w:t>
      </w:r>
    </w:p>
    <w:p w:rsidR="00FE2392" w:rsidRDefault="00FE2392" w:rsidP="00EC30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электроснабжение –</w:t>
      </w:r>
      <w:r w:rsidR="00250685">
        <w:rPr>
          <w:sz w:val="28"/>
          <w:szCs w:val="28"/>
        </w:rPr>
        <w:t>88,2</w:t>
      </w:r>
      <w:r w:rsidR="00466658">
        <w:rPr>
          <w:sz w:val="28"/>
          <w:szCs w:val="28"/>
        </w:rPr>
        <w:t>% (</w:t>
      </w:r>
      <w:r w:rsidR="00250685">
        <w:rPr>
          <w:sz w:val="28"/>
          <w:szCs w:val="28"/>
        </w:rPr>
        <w:t>88</w:t>
      </w:r>
      <w:r>
        <w:rPr>
          <w:sz w:val="28"/>
          <w:szCs w:val="28"/>
        </w:rPr>
        <w:t>%</w:t>
      </w:r>
      <w:r w:rsidR="00250685">
        <w:rPr>
          <w:sz w:val="28"/>
          <w:szCs w:val="28"/>
        </w:rPr>
        <w:t xml:space="preserve"> в 2019</w:t>
      </w:r>
      <w:r w:rsidR="00B674B5">
        <w:rPr>
          <w:sz w:val="28"/>
          <w:szCs w:val="28"/>
        </w:rPr>
        <w:t xml:space="preserve"> году</w:t>
      </w:r>
      <w:r>
        <w:rPr>
          <w:sz w:val="28"/>
          <w:szCs w:val="28"/>
        </w:rPr>
        <w:t>);</w:t>
      </w:r>
    </w:p>
    <w:p w:rsidR="00466658" w:rsidRDefault="00466658" w:rsidP="00EC30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теплоснабжение – </w:t>
      </w:r>
      <w:r w:rsidR="00250685">
        <w:rPr>
          <w:sz w:val="28"/>
          <w:szCs w:val="28"/>
        </w:rPr>
        <w:t>77,2</w:t>
      </w:r>
      <w:r>
        <w:rPr>
          <w:sz w:val="28"/>
          <w:szCs w:val="28"/>
        </w:rPr>
        <w:t>% (</w:t>
      </w:r>
      <w:r w:rsidR="00250685">
        <w:rPr>
          <w:sz w:val="28"/>
          <w:szCs w:val="28"/>
        </w:rPr>
        <w:t>77,1</w:t>
      </w:r>
      <w:r>
        <w:rPr>
          <w:sz w:val="28"/>
          <w:szCs w:val="28"/>
        </w:rPr>
        <w:t>%</w:t>
      </w:r>
      <w:r w:rsidR="00250685">
        <w:rPr>
          <w:sz w:val="28"/>
          <w:szCs w:val="28"/>
        </w:rPr>
        <w:t xml:space="preserve"> в 2019</w:t>
      </w:r>
      <w:r w:rsidR="00B674B5">
        <w:rPr>
          <w:sz w:val="28"/>
          <w:szCs w:val="28"/>
        </w:rPr>
        <w:t xml:space="preserve"> году</w:t>
      </w:r>
      <w:r>
        <w:rPr>
          <w:sz w:val="28"/>
          <w:szCs w:val="28"/>
        </w:rPr>
        <w:t>);</w:t>
      </w:r>
    </w:p>
    <w:p w:rsidR="001F6518" w:rsidRDefault="00466658" w:rsidP="001F6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телефонная связь</w:t>
      </w:r>
      <w:r w:rsidR="00250685">
        <w:rPr>
          <w:sz w:val="28"/>
          <w:szCs w:val="28"/>
        </w:rPr>
        <w:t>, сеть «Интернет»</w:t>
      </w:r>
      <w:r>
        <w:rPr>
          <w:sz w:val="28"/>
          <w:szCs w:val="28"/>
        </w:rPr>
        <w:t xml:space="preserve"> –</w:t>
      </w:r>
      <w:r w:rsidR="00812434">
        <w:rPr>
          <w:sz w:val="28"/>
          <w:szCs w:val="28"/>
        </w:rPr>
        <w:t>61,6</w:t>
      </w:r>
      <w:r w:rsidR="0011040B">
        <w:rPr>
          <w:sz w:val="28"/>
          <w:szCs w:val="28"/>
        </w:rPr>
        <w:t>% (</w:t>
      </w:r>
      <w:r w:rsidR="00250685">
        <w:rPr>
          <w:sz w:val="28"/>
          <w:szCs w:val="28"/>
        </w:rPr>
        <w:t>50,9</w:t>
      </w:r>
      <w:r w:rsidR="0011040B">
        <w:rPr>
          <w:sz w:val="28"/>
          <w:szCs w:val="28"/>
        </w:rPr>
        <w:t>%</w:t>
      </w:r>
      <w:r w:rsidR="00250685">
        <w:rPr>
          <w:sz w:val="28"/>
          <w:szCs w:val="28"/>
        </w:rPr>
        <w:t xml:space="preserve"> в 2019</w:t>
      </w:r>
      <w:r w:rsidR="00B674B5">
        <w:rPr>
          <w:sz w:val="28"/>
          <w:szCs w:val="28"/>
        </w:rPr>
        <w:t xml:space="preserve"> году</w:t>
      </w:r>
      <w:r w:rsidR="0011040B">
        <w:rPr>
          <w:sz w:val="28"/>
          <w:szCs w:val="28"/>
        </w:rPr>
        <w:t>).</w:t>
      </w:r>
    </w:p>
    <w:p w:rsidR="009D11EC" w:rsidRPr="001F6518" w:rsidRDefault="001F6518" w:rsidP="00EC30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Оценив результаты можно сделать вывод</w:t>
      </w:r>
      <w:r w:rsidRPr="001F6518">
        <w:rPr>
          <w:sz w:val="28"/>
          <w:szCs w:val="28"/>
        </w:rPr>
        <w:t>, что в целом участники исследования в той или иной степени довольны качеством водоснабжения, газоснабжения, электроснабжения</w:t>
      </w:r>
      <w:r>
        <w:rPr>
          <w:sz w:val="28"/>
          <w:szCs w:val="28"/>
        </w:rPr>
        <w:t>,</w:t>
      </w:r>
      <w:r w:rsidRPr="001F6518">
        <w:rPr>
          <w:sz w:val="28"/>
          <w:szCs w:val="28"/>
        </w:rPr>
        <w:t xml:space="preserve"> телефонной связи. Большинство опрошенных указали, что предоставлением субъектами естественных монополий услуг </w:t>
      </w:r>
      <w:proofErr w:type="gramStart"/>
      <w:r w:rsidRPr="001F6518">
        <w:rPr>
          <w:sz w:val="28"/>
          <w:szCs w:val="28"/>
        </w:rPr>
        <w:t>удовлетворены</w:t>
      </w:r>
      <w:proofErr w:type="gramEnd"/>
      <w:r w:rsidRPr="001F6518">
        <w:rPr>
          <w:sz w:val="28"/>
          <w:szCs w:val="28"/>
        </w:rPr>
        <w:t xml:space="preserve"> или скорее удовлетворены</w:t>
      </w:r>
      <w:r w:rsidR="00FF5D3D">
        <w:rPr>
          <w:sz w:val="28"/>
          <w:szCs w:val="28"/>
        </w:rPr>
        <w:t>.</w:t>
      </w:r>
    </w:p>
    <w:p w:rsidR="001F6518" w:rsidRDefault="001F6518" w:rsidP="00EC30C6">
      <w:pPr>
        <w:ind w:firstLine="709"/>
        <w:jc w:val="both"/>
        <w:rPr>
          <w:sz w:val="28"/>
          <w:szCs w:val="28"/>
        </w:rPr>
      </w:pPr>
    </w:p>
    <w:p w:rsidR="009D11EC" w:rsidRPr="008A7A3F" w:rsidRDefault="009D11EC" w:rsidP="00FF5D3D">
      <w:pPr>
        <w:pStyle w:val="a7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Динамика удовлетворенности качеством официальной </w:t>
      </w:r>
      <w:r w:rsidRPr="008A7A3F">
        <w:rPr>
          <w:b/>
          <w:sz w:val="28"/>
          <w:szCs w:val="28"/>
        </w:rPr>
        <w:t>информации о состоянии конкурентной среды на товарных рынках, размещаемой в открытом доступе, в сравнении с прошлым годом.</w:t>
      </w:r>
    </w:p>
    <w:p w:rsidR="00A159E9" w:rsidRPr="009D11EC" w:rsidRDefault="00A159E9" w:rsidP="00FF5D3D">
      <w:pPr>
        <w:pStyle w:val="a7"/>
        <w:ind w:left="0"/>
        <w:jc w:val="center"/>
        <w:rPr>
          <w:b/>
          <w:sz w:val="28"/>
          <w:szCs w:val="28"/>
        </w:rPr>
      </w:pPr>
    </w:p>
    <w:p w:rsidR="009246F3" w:rsidRDefault="00FF5D3D" w:rsidP="00B73C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проведенного исследования оценивалась доступность, понятность и удобство получения официальной информации о состоянии конкурентной среды на рынках товаров и услуг Петровского городского округа Ставропольского края.  </w:t>
      </w:r>
    </w:p>
    <w:p w:rsidR="00E65C77" w:rsidRDefault="00FD2B99" w:rsidP="00A159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</w:t>
      </w:r>
      <w:r w:rsidR="001E698F">
        <w:rPr>
          <w:sz w:val="28"/>
          <w:szCs w:val="28"/>
        </w:rPr>
        <w:t xml:space="preserve">94,2% </w:t>
      </w:r>
      <w:r>
        <w:rPr>
          <w:sz w:val="28"/>
          <w:szCs w:val="28"/>
        </w:rPr>
        <w:t>респондентов</w:t>
      </w:r>
      <w:r w:rsidR="00FF5D3D">
        <w:rPr>
          <w:sz w:val="28"/>
          <w:szCs w:val="28"/>
        </w:rPr>
        <w:t xml:space="preserve"> </w:t>
      </w:r>
      <w:r w:rsidR="00AE0E75">
        <w:rPr>
          <w:sz w:val="28"/>
          <w:szCs w:val="28"/>
        </w:rPr>
        <w:t>(78,2</w:t>
      </w:r>
      <w:r>
        <w:rPr>
          <w:sz w:val="28"/>
          <w:szCs w:val="28"/>
        </w:rPr>
        <w:t>%</w:t>
      </w:r>
      <w:r w:rsidR="009246F3">
        <w:rPr>
          <w:sz w:val="28"/>
          <w:szCs w:val="28"/>
        </w:rPr>
        <w:t xml:space="preserve"> в 2019 году</w:t>
      </w:r>
      <w:r>
        <w:rPr>
          <w:sz w:val="28"/>
          <w:szCs w:val="28"/>
        </w:rPr>
        <w:t>), официальная информация</w:t>
      </w:r>
      <w:r w:rsidR="003E03E9">
        <w:rPr>
          <w:sz w:val="28"/>
          <w:szCs w:val="28"/>
        </w:rPr>
        <w:t xml:space="preserve"> о состоянии конкурентной среды на товарных рынках, размещаемой </w:t>
      </w:r>
      <w:r w:rsidR="006C44F8">
        <w:rPr>
          <w:sz w:val="28"/>
          <w:szCs w:val="28"/>
        </w:rPr>
        <w:t>в открытом доступе,</w:t>
      </w:r>
      <w:r>
        <w:rPr>
          <w:sz w:val="28"/>
          <w:szCs w:val="28"/>
        </w:rPr>
        <w:t xml:space="preserve"> стала более доступной</w:t>
      </w:r>
      <w:r w:rsidR="003E03E9">
        <w:rPr>
          <w:sz w:val="28"/>
          <w:szCs w:val="28"/>
        </w:rPr>
        <w:t>.</w:t>
      </w:r>
      <w:r w:rsidR="00A159E9">
        <w:rPr>
          <w:sz w:val="28"/>
          <w:szCs w:val="28"/>
        </w:rPr>
        <w:t xml:space="preserve"> Без изменений остался показатель понятности размещаемой информации (93,9%)</w:t>
      </w:r>
      <w:r w:rsidR="00322A44">
        <w:rPr>
          <w:sz w:val="28"/>
          <w:szCs w:val="28"/>
        </w:rPr>
        <w:t>, а</w:t>
      </w:r>
      <w:r w:rsidR="008A7A3F">
        <w:rPr>
          <w:sz w:val="28"/>
          <w:szCs w:val="28"/>
        </w:rPr>
        <w:t xml:space="preserve"> число </w:t>
      </w:r>
      <w:r w:rsidR="008A7A3F">
        <w:rPr>
          <w:sz w:val="28"/>
          <w:szCs w:val="28"/>
        </w:rPr>
        <w:lastRenderedPageBreak/>
        <w:t>удовлетворенных удобством получения информации составило</w:t>
      </w:r>
      <w:r w:rsidR="00E65C77">
        <w:rPr>
          <w:sz w:val="28"/>
          <w:szCs w:val="28"/>
        </w:rPr>
        <w:t xml:space="preserve"> </w:t>
      </w:r>
      <w:r w:rsidR="00AE0E75">
        <w:rPr>
          <w:sz w:val="28"/>
          <w:szCs w:val="28"/>
        </w:rPr>
        <w:t>93,6</w:t>
      </w:r>
      <w:r w:rsidR="00322A44">
        <w:rPr>
          <w:sz w:val="28"/>
          <w:szCs w:val="28"/>
        </w:rPr>
        <w:t xml:space="preserve">% </w:t>
      </w:r>
      <w:r w:rsidR="00AE0E75">
        <w:rPr>
          <w:sz w:val="28"/>
          <w:szCs w:val="28"/>
        </w:rPr>
        <w:t>(93,3% в 2019</w:t>
      </w:r>
      <w:r w:rsidR="00B73C40">
        <w:rPr>
          <w:sz w:val="28"/>
          <w:szCs w:val="28"/>
        </w:rPr>
        <w:t xml:space="preserve"> году)</w:t>
      </w:r>
      <w:r w:rsidR="00322A44">
        <w:rPr>
          <w:sz w:val="28"/>
          <w:szCs w:val="28"/>
        </w:rPr>
        <w:t>.</w:t>
      </w:r>
      <w:r w:rsidR="00E65C77" w:rsidRPr="00E65C77">
        <w:rPr>
          <w:sz w:val="28"/>
          <w:szCs w:val="28"/>
        </w:rPr>
        <w:t xml:space="preserve"> </w:t>
      </w:r>
    </w:p>
    <w:p w:rsidR="007D74EF" w:rsidRDefault="00E65C77" w:rsidP="00A159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Касательно удовлетворенности качеством официальной информации о состоянии конкурентной среды на товарных рынках, размещаемой в открытом доступе, наблюдается позитивная динамика.</w:t>
      </w:r>
    </w:p>
    <w:p w:rsidR="00FF5D3D" w:rsidRDefault="00FF5D3D" w:rsidP="00A159E9">
      <w:pPr>
        <w:ind w:firstLine="709"/>
        <w:jc w:val="both"/>
        <w:rPr>
          <w:sz w:val="28"/>
          <w:szCs w:val="28"/>
        </w:rPr>
      </w:pPr>
    </w:p>
    <w:p w:rsidR="00FF5D3D" w:rsidRDefault="00FF5D3D" w:rsidP="00A159E9">
      <w:pPr>
        <w:ind w:firstLine="709"/>
        <w:jc w:val="both"/>
        <w:rPr>
          <w:sz w:val="28"/>
          <w:szCs w:val="28"/>
        </w:rPr>
      </w:pPr>
    </w:p>
    <w:p w:rsidR="00B26BAB" w:rsidRPr="00BB0DF2" w:rsidRDefault="00B26BAB" w:rsidP="004B36C3">
      <w:pPr>
        <w:rPr>
          <w:sz w:val="20"/>
          <w:szCs w:val="20"/>
        </w:rPr>
      </w:pPr>
    </w:p>
    <w:p w:rsidR="00B26BAB" w:rsidRDefault="00B26BAB" w:rsidP="008A7A3F">
      <w:pPr>
        <w:rPr>
          <w:b/>
          <w:sz w:val="28"/>
          <w:szCs w:val="28"/>
        </w:rPr>
      </w:pPr>
      <w:r w:rsidRPr="0072025F">
        <w:rPr>
          <w:b/>
          <w:sz w:val="28"/>
          <w:szCs w:val="28"/>
          <w:lang w:val="en-US"/>
        </w:rPr>
        <w:t>II</w:t>
      </w:r>
      <w:r w:rsidRPr="0072025F">
        <w:rPr>
          <w:b/>
          <w:sz w:val="28"/>
          <w:szCs w:val="28"/>
        </w:rPr>
        <w:t xml:space="preserve">. Анализ итогов опросов субъектов </w:t>
      </w:r>
      <w:r w:rsidR="008A7A3F">
        <w:rPr>
          <w:b/>
          <w:sz w:val="28"/>
          <w:szCs w:val="28"/>
        </w:rPr>
        <w:t xml:space="preserve">предпринимательской </w:t>
      </w:r>
      <w:r w:rsidRPr="0072025F">
        <w:rPr>
          <w:b/>
          <w:sz w:val="28"/>
          <w:szCs w:val="28"/>
        </w:rPr>
        <w:t>деятельности</w:t>
      </w:r>
    </w:p>
    <w:p w:rsidR="00916698" w:rsidRPr="0072025F" w:rsidRDefault="00916698" w:rsidP="0072025F">
      <w:pPr>
        <w:jc w:val="center"/>
        <w:rPr>
          <w:b/>
          <w:sz w:val="28"/>
          <w:szCs w:val="28"/>
        </w:rPr>
      </w:pPr>
    </w:p>
    <w:p w:rsidR="00916698" w:rsidRDefault="00916698" w:rsidP="008A7A3F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916698">
        <w:rPr>
          <w:b/>
          <w:sz w:val="28"/>
          <w:szCs w:val="28"/>
        </w:rPr>
        <w:t>Динамика количества опрошенных субъектов предпринимательской деятельности с учетом их сферы деятельности и вида производимой продукции в сравнении с прошлым годом.</w:t>
      </w:r>
    </w:p>
    <w:p w:rsidR="00916698" w:rsidRPr="00916698" w:rsidRDefault="00916698" w:rsidP="00916698">
      <w:pPr>
        <w:rPr>
          <w:b/>
          <w:sz w:val="28"/>
          <w:szCs w:val="28"/>
        </w:rPr>
      </w:pPr>
    </w:p>
    <w:p w:rsidR="00E231D7" w:rsidRDefault="00385852" w:rsidP="009166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получения объективных данных</w:t>
      </w:r>
      <w:r w:rsidR="00DE043C">
        <w:rPr>
          <w:sz w:val="28"/>
          <w:szCs w:val="28"/>
        </w:rPr>
        <w:t>, характеризующих состояние делового климата, в том числе изучения мнения предпринимателей малого и среднего бизнеса о состоянии конкуренции на товарных рынках Петровского городского округа Ставропольского</w:t>
      </w:r>
      <w:r w:rsidR="00762936">
        <w:rPr>
          <w:sz w:val="28"/>
          <w:szCs w:val="28"/>
        </w:rPr>
        <w:t xml:space="preserve"> края,</w:t>
      </w:r>
      <w:r w:rsidR="00E65C77">
        <w:rPr>
          <w:sz w:val="28"/>
          <w:szCs w:val="28"/>
        </w:rPr>
        <w:t xml:space="preserve"> </w:t>
      </w:r>
      <w:r w:rsidR="00AB2B90">
        <w:rPr>
          <w:sz w:val="28"/>
          <w:szCs w:val="28"/>
        </w:rPr>
        <w:t xml:space="preserve">в ходе проведения опроса был охвачен более широкий спектр </w:t>
      </w:r>
      <w:r w:rsidR="00762936">
        <w:rPr>
          <w:sz w:val="28"/>
          <w:szCs w:val="28"/>
        </w:rPr>
        <w:t xml:space="preserve">товарных </w:t>
      </w:r>
      <w:r w:rsidR="00AB2B90">
        <w:rPr>
          <w:sz w:val="28"/>
          <w:szCs w:val="28"/>
        </w:rPr>
        <w:t xml:space="preserve">рынков по сравнению с 2019 годом. </w:t>
      </w:r>
    </w:p>
    <w:p w:rsidR="00385852" w:rsidRDefault="00AB2B90" w:rsidP="00E231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опросе приняли</w:t>
      </w:r>
      <w:r w:rsidR="00D241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участие </w:t>
      </w:r>
      <w:r w:rsidR="00E231D7">
        <w:rPr>
          <w:sz w:val="28"/>
          <w:szCs w:val="28"/>
        </w:rPr>
        <w:t xml:space="preserve">88 субъектов </w:t>
      </w:r>
      <w:r w:rsidR="00D24152">
        <w:rPr>
          <w:sz w:val="28"/>
          <w:szCs w:val="28"/>
        </w:rPr>
        <w:t>малого и среднего предпринимательства</w:t>
      </w:r>
      <w:r w:rsidR="00762936">
        <w:rPr>
          <w:sz w:val="28"/>
          <w:szCs w:val="28"/>
        </w:rPr>
        <w:t>,</w:t>
      </w:r>
      <w:r w:rsidR="00E231D7">
        <w:rPr>
          <w:sz w:val="28"/>
          <w:szCs w:val="28"/>
        </w:rPr>
        <w:t xml:space="preserve"> </w:t>
      </w:r>
      <w:r w:rsidR="000D336A">
        <w:rPr>
          <w:sz w:val="28"/>
          <w:szCs w:val="28"/>
        </w:rPr>
        <w:t xml:space="preserve">осуществляющие деятельность на территории Петровского городского округа Ставропольского края, </w:t>
      </w:r>
      <w:r w:rsidR="00E231D7">
        <w:rPr>
          <w:sz w:val="28"/>
          <w:szCs w:val="28"/>
        </w:rPr>
        <w:t xml:space="preserve">представляющие </w:t>
      </w:r>
      <w:r w:rsidR="00D24152">
        <w:rPr>
          <w:sz w:val="28"/>
          <w:szCs w:val="28"/>
        </w:rPr>
        <w:t xml:space="preserve"> </w:t>
      </w:r>
      <w:r w:rsidR="00E231D7">
        <w:rPr>
          <w:sz w:val="28"/>
          <w:szCs w:val="28"/>
        </w:rPr>
        <w:t>16</w:t>
      </w:r>
      <w:r w:rsidR="00D24152">
        <w:rPr>
          <w:sz w:val="28"/>
          <w:szCs w:val="28"/>
        </w:rPr>
        <w:t xml:space="preserve"> </w:t>
      </w:r>
      <w:r w:rsidR="00462F44">
        <w:rPr>
          <w:sz w:val="28"/>
          <w:szCs w:val="28"/>
        </w:rPr>
        <w:t>товарных рынков</w:t>
      </w:r>
      <w:r w:rsidR="00E231D7">
        <w:rPr>
          <w:sz w:val="28"/>
          <w:szCs w:val="28"/>
        </w:rPr>
        <w:t>, в то время как в 2019 году 84 субъекта МСП были пред</w:t>
      </w:r>
      <w:r w:rsidR="00CE4F0B">
        <w:rPr>
          <w:sz w:val="28"/>
          <w:szCs w:val="28"/>
        </w:rPr>
        <w:t>ставителями 6</w:t>
      </w:r>
      <w:r w:rsidR="00D24152">
        <w:rPr>
          <w:sz w:val="28"/>
          <w:szCs w:val="28"/>
        </w:rPr>
        <w:t xml:space="preserve"> </w:t>
      </w:r>
      <w:r w:rsidR="00762936">
        <w:rPr>
          <w:sz w:val="28"/>
          <w:szCs w:val="28"/>
        </w:rPr>
        <w:t xml:space="preserve">товарных </w:t>
      </w:r>
      <w:r w:rsidR="00E231D7">
        <w:rPr>
          <w:sz w:val="28"/>
          <w:szCs w:val="28"/>
        </w:rPr>
        <w:t>рынков</w:t>
      </w:r>
      <w:r w:rsidR="00762936">
        <w:rPr>
          <w:sz w:val="28"/>
          <w:szCs w:val="28"/>
        </w:rPr>
        <w:t>.</w:t>
      </w:r>
    </w:p>
    <w:p w:rsidR="00C10F5A" w:rsidRDefault="006C2F22" w:rsidP="00E231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10F5A">
        <w:rPr>
          <w:sz w:val="28"/>
          <w:szCs w:val="28"/>
        </w:rPr>
        <w:t xml:space="preserve"> 31</w:t>
      </w:r>
      <w:r>
        <w:rPr>
          <w:sz w:val="28"/>
          <w:szCs w:val="28"/>
        </w:rPr>
        <w:t>,8</w:t>
      </w:r>
      <w:r w:rsidR="00C10F5A">
        <w:rPr>
          <w:sz w:val="28"/>
          <w:szCs w:val="28"/>
        </w:rPr>
        <w:t xml:space="preserve">% опрошенных субъектов МСП </w:t>
      </w:r>
      <w:r>
        <w:rPr>
          <w:sz w:val="28"/>
          <w:szCs w:val="28"/>
        </w:rPr>
        <w:t>бизнес основан на производстве и торговле продовольственными товарами, а также предоставлении услуг общественного питания и бытовых услуг.</w:t>
      </w:r>
    </w:p>
    <w:p w:rsidR="00CE4F0B" w:rsidRDefault="00CE4F0B" w:rsidP="00CE4F0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Кроме этого в опросе приняли участие субъекты </w:t>
      </w:r>
      <w:r w:rsidR="00FA59EB">
        <w:rPr>
          <w:sz w:val="28"/>
          <w:szCs w:val="28"/>
        </w:rPr>
        <w:t>МСП</w:t>
      </w:r>
      <w:r w:rsidR="008A7A3F">
        <w:rPr>
          <w:sz w:val="28"/>
          <w:szCs w:val="28"/>
        </w:rPr>
        <w:t>,</w:t>
      </w:r>
      <w:r w:rsidR="00462F44">
        <w:rPr>
          <w:sz w:val="28"/>
          <w:szCs w:val="28"/>
        </w:rPr>
        <w:t xml:space="preserve"> </w:t>
      </w:r>
      <w:r w:rsidR="006355C6">
        <w:rPr>
          <w:sz w:val="28"/>
          <w:szCs w:val="28"/>
        </w:rPr>
        <w:t>представляющие товарные рынки по предоставлению</w:t>
      </w:r>
      <w:r>
        <w:rPr>
          <w:sz w:val="28"/>
          <w:szCs w:val="28"/>
        </w:rPr>
        <w:t xml:space="preserve"> услуг дополнительного образования детей – </w:t>
      </w:r>
      <w:r w:rsidR="006355C6">
        <w:rPr>
          <w:sz w:val="28"/>
          <w:szCs w:val="28"/>
        </w:rPr>
        <w:t>3,4</w:t>
      </w:r>
      <w:r>
        <w:rPr>
          <w:sz w:val="28"/>
          <w:szCs w:val="28"/>
        </w:rPr>
        <w:t xml:space="preserve">%,  </w:t>
      </w:r>
      <w:r w:rsidR="006355C6">
        <w:rPr>
          <w:sz w:val="28"/>
          <w:szCs w:val="28"/>
        </w:rPr>
        <w:t>медицинских услуг – 3,4</w:t>
      </w:r>
      <w:r>
        <w:rPr>
          <w:sz w:val="28"/>
          <w:szCs w:val="28"/>
        </w:rPr>
        <w:t>%, услу</w:t>
      </w:r>
      <w:r w:rsidR="006355C6">
        <w:rPr>
          <w:sz w:val="28"/>
          <w:szCs w:val="28"/>
        </w:rPr>
        <w:t>г розничной торговли лекарственными препаратами</w:t>
      </w:r>
      <w:r>
        <w:rPr>
          <w:sz w:val="28"/>
          <w:szCs w:val="28"/>
        </w:rPr>
        <w:t xml:space="preserve"> – </w:t>
      </w:r>
      <w:r w:rsidR="006355C6">
        <w:rPr>
          <w:sz w:val="28"/>
          <w:szCs w:val="28"/>
        </w:rPr>
        <w:t>2,3</w:t>
      </w:r>
      <w:r>
        <w:rPr>
          <w:sz w:val="28"/>
          <w:szCs w:val="28"/>
        </w:rPr>
        <w:t xml:space="preserve">%, </w:t>
      </w:r>
      <w:r w:rsidR="006355C6">
        <w:rPr>
          <w:sz w:val="28"/>
          <w:szCs w:val="28"/>
        </w:rPr>
        <w:t xml:space="preserve">услуг по текущему ремонту </w:t>
      </w:r>
      <w:r w:rsidR="005A7DB4">
        <w:rPr>
          <w:sz w:val="28"/>
          <w:szCs w:val="28"/>
        </w:rPr>
        <w:t>помещений в многоквартирном доме</w:t>
      </w:r>
      <w:r>
        <w:rPr>
          <w:sz w:val="28"/>
          <w:szCs w:val="28"/>
        </w:rPr>
        <w:t xml:space="preserve"> – 1,1%, </w:t>
      </w:r>
      <w:r w:rsidR="005A7DB4">
        <w:rPr>
          <w:sz w:val="28"/>
          <w:szCs w:val="28"/>
        </w:rPr>
        <w:t xml:space="preserve">услуг по </w:t>
      </w:r>
      <w:r>
        <w:rPr>
          <w:sz w:val="28"/>
          <w:szCs w:val="28"/>
        </w:rPr>
        <w:t>перевоз</w:t>
      </w:r>
      <w:r w:rsidR="005A7DB4">
        <w:rPr>
          <w:sz w:val="28"/>
          <w:szCs w:val="28"/>
        </w:rPr>
        <w:t>ке</w:t>
      </w:r>
      <w:r>
        <w:rPr>
          <w:sz w:val="28"/>
          <w:szCs w:val="28"/>
        </w:rPr>
        <w:t xml:space="preserve"> пассажиров </w:t>
      </w:r>
      <w:r w:rsidR="005A7DB4">
        <w:rPr>
          <w:sz w:val="28"/>
          <w:szCs w:val="28"/>
        </w:rPr>
        <w:t xml:space="preserve">легковым такси </w:t>
      </w:r>
      <w:r>
        <w:rPr>
          <w:sz w:val="28"/>
          <w:szCs w:val="28"/>
        </w:rPr>
        <w:t xml:space="preserve">– </w:t>
      </w:r>
      <w:r w:rsidR="005A7DB4">
        <w:rPr>
          <w:sz w:val="28"/>
          <w:szCs w:val="28"/>
        </w:rPr>
        <w:t>10,2</w:t>
      </w:r>
      <w:r>
        <w:rPr>
          <w:sz w:val="28"/>
          <w:szCs w:val="28"/>
        </w:rPr>
        <w:t>%</w:t>
      </w:r>
      <w:r w:rsidR="005A7DB4">
        <w:rPr>
          <w:sz w:val="28"/>
          <w:szCs w:val="28"/>
        </w:rPr>
        <w:t>, услуг по ремонту автотранспортных средств – 10,2%, услуг связи и сети «Интернет» - 1,1%, услуг жилищного строительства – 2,3%, реализации</w:t>
      </w:r>
      <w:proofErr w:type="gramEnd"/>
      <w:r w:rsidR="005A7DB4">
        <w:rPr>
          <w:sz w:val="28"/>
          <w:szCs w:val="28"/>
        </w:rPr>
        <w:t xml:space="preserve"> сельскохозяйственной продукции – 9</w:t>
      </w:r>
      <w:r w:rsidR="00045592">
        <w:rPr>
          <w:sz w:val="28"/>
          <w:szCs w:val="28"/>
        </w:rPr>
        <w:t>,1</w:t>
      </w:r>
      <w:r w:rsidR="005A7DB4">
        <w:rPr>
          <w:sz w:val="28"/>
          <w:szCs w:val="28"/>
        </w:rPr>
        <w:t xml:space="preserve">%, </w:t>
      </w:r>
      <w:r w:rsidR="005A28C4">
        <w:rPr>
          <w:sz w:val="28"/>
          <w:szCs w:val="28"/>
        </w:rPr>
        <w:t>племенное животноводство – 1,1%,</w:t>
      </w:r>
      <w:r>
        <w:rPr>
          <w:sz w:val="28"/>
          <w:szCs w:val="28"/>
        </w:rPr>
        <w:t xml:space="preserve"> рынок нефтепродуктов – </w:t>
      </w:r>
      <w:r w:rsidR="005A28C4">
        <w:rPr>
          <w:sz w:val="28"/>
          <w:szCs w:val="28"/>
        </w:rPr>
        <w:t>3,4</w:t>
      </w:r>
      <w:r>
        <w:rPr>
          <w:sz w:val="28"/>
          <w:szCs w:val="28"/>
        </w:rPr>
        <w:t>%</w:t>
      </w:r>
      <w:r w:rsidR="005A28C4">
        <w:rPr>
          <w:sz w:val="28"/>
          <w:szCs w:val="28"/>
        </w:rPr>
        <w:t>, рынок легкой промышленности – 2,3%, рынок обработки древесины – 4,5%, рынок наружной рекламы – 6,8% и рынок санаторно-курортных и туристических услуг – 6,8%</w:t>
      </w:r>
      <w:r>
        <w:rPr>
          <w:sz w:val="28"/>
          <w:szCs w:val="28"/>
        </w:rPr>
        <w:t>.</w:t>
      </w:r>
    </w:p>
    <w:p w:rsidR="00AD1A96" w:rsidRDefault="00AD1A96" w:rsidP="00AD1A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продукцией (товаром, работой, услугой) всех респондентов являются:</w:t>
      </w:r>
    </w:p>
    <w:p w:rsidR="00AD1A96" w:rsidRDefault="00AD1A96" w:rsidP="00AD1A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услуг – 62,5% (15,4% в 2019 г.);</w:t>
      </w:r>
    </w:p>
    <w:p w:rsidR="00AD1A96" w:rsidRDefault="00AD1A96" w:rsidP="00AD1A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-конечная продукция – 10,2% (35,7% в 2019 г.);</w:t>
      </w:r>
    </w:p>
    <w:p w:rsidR="00AD1A96" w:rsidRDefault="00AD1A96" w:rsidP="00AD1A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-продажа товара и услуг, произв</w:t>
      </w:r>
      <w:r w:rsidR="00486F24">
        <w:rPr>
          <w:sz w:val="28"/>
          <w:szCs w:val="28"/>
        </w:rPr>
        <w:t>одимых другими компаниями – 14,8</w:t>
      </w:r>
      <w:r>
        <w:rPr>
          <w:sz w:val="28"/>
          <w:szCs w:val="28"/>
        </w:rPr>
        <w:t>% (44% в 2019 г.);</w:t>
      </w:r>
    </w:p>
    <w:p w:rsidR="00AD1A96" w:rsidRDefault="00AD1A96" w:rsidP="00AD1A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сырье и материалы для дальнейшей переработки – 1,1% (4,7% в 2019 г.);</w:t>
      </w:r>
    </w:p>
    <w:p w:rsidR="00AD1A96" w:rsidRDefault="00AD1A96" w:rsidP="00AD1A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компоненты для производства конечной продукции – 11,4% (0% в 2019 г.).</w:t>
      </w:r>
    </w:p>
    <w:p w:rsidR="00916698" w:rsidRDefault="00ED766E" w:rsidP="00AD1A96">
      <w:pPr>
        <w:ind w:firstLine="142"/>
        <w:jc w:val="both"/>
        <w:rPr>
          <w:sz w:val="28"/>
          <w:szCs w:val="28"/>
        </w:rPr>
      </w:pPr>
      <w:r w:rsidRPr="00ED766E">
        <w:rPr>
          <w:noProof/>
          <w:sz w:val="28"/>
          <w:szCs w:val="28"/>
        </w:rPr>
        <w:lastRenderedPageBreak/>
        <w:drawing>
          <wp:inline distT="0" distB="0" distL="0" distR="0">
            <wp:extent cx="6076950" cy="4229100"/>
            <wp:effectExtent l="0" t="0" r="0" b="0"/>
            <wp:docPr id="1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16698" w:rsidRPr="008A7A3F" w:rsidRDefault="00916698" w:rsidP="008A7A3F">
      <w:pPr>
        <w:pStyle w:val="a7"/>
        <w:numPr>
          <w:ilvl w:val="0"/>
          <w:numId w:val="1"/>
        </w:numPr>
        <w:ind w:left="426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Динамика оценки субъектами предпринимательской </w:t>
      </w:r>
      <w:r w:rsidRPr="008A7A3F">
        <w:rPr>
          <w:b/>
          <w:sz w:val="28"/>
          <w:szCs w:val="28"/>
        </w:rPr>
        <w:t>деятельности уровня конкуренции и прим</w:t>
      </w:r>
      <w:r w:rsidR="008A7A3F">
        <w:rPr>
          <w:b/>
          <w:sz w:val="28"/>
          <w:szCs w:val="28"/>
        </w:rPr>
        <w:t xml:space="preserve">ерного количества конкурентов в </w:t>
      </w:r>
      <w:r w:rsidRPr="008A7A3F">
        <w:rPr>
          <w:b/>
          <w:sz w:val="28"/>
          <w:szCs w:val="28"/>
        </w:rPr>
        <w:t>сравнении с прошлым годом.</w:t>
      </w:r>
    </w:p>
    <w:p w:rsidR="00916698" w:rsidRPr="00916698" w:rsidRDefault="00916698" w:rsidP="00916698">
      <w:pPr>
        <w:pStyle w:val="a7"/>
        <w:ind w:left="1543"/>
        <w:jc w:val="center"/>
        <w:rPr>
          <w:b/>
          <w:sz w:val="28"/>
          <w:szCs w:val="28"/>
        </w:rPr>
      </w:pPr>
    </w:p>
    <w:p w:rsidR="00870E26" w:rsidRDefault="002B064E" w:rsidP="009166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Конкуренция является одним из условий поступательного развития рынка.</w:t>
      </w:r>
      <w:r w:rsidR="00227F3F">
        <w:rPr>
          <w:sz w:val="28"/>
          <w:szCs w:val="28"/>
        </w:rPr>
        <w:t xml:space="preserve"> Немаловажным фактором функционирования бизнеса является возрастание количества конкурентов у предпринимателей на рынке. Отвечая на вопрос о количестве </w:t>
      </w:r>
      <w:r w:rsidR="00227F3F" w:rsidRPr="00484401">
        <w:rPr>
          <w:sz w:val="28"/>
          <w:szCs w:val="28"/>
        </w:rPr>
        <w:t>конкурентов для</w:t>
      </w:r>
      <w:r w:rsidR="00227F3F">
        <w:rPr>
          <w:sz w:val="28"/>
          <w:szCs w:val="28"/>
        </w:rPr>
        <w:t xml:space="preserve"> бизнеса, преобладающая масса опрошенных представителей бизнеса указала </w:t>
      </w:r>
      <w:r w:rsidR="00227F3F" w:rsidRPr="00484401">
        <w:rPr>
          <w:sz w:val="28"/>
          <w:szCs w:val="28"/>
        </w:rPr>
        <w:t xml:space="preserve">на большее количество конкурентов 50 % (в 2019 г. </w:t>
      </w:r>
      <w:r w:rsidR="00484401" w:rsidRPr="00484401">
        <w:rPr>
          <w:sz w:val="28"/>
          <w:szCs w:val="28"/>
        </w:rPr>
        <w:t>–</w:t>
      </w:r>
      <w:r w:rsidR="00227F3F" w:rsidRPr="00484401">
        <w:rPr>
          <w:sz w:val="28"/>
          <w:szCs w:val="28"/>
        </w:rPr>
        <w:t xml:space="preserve"> </w:t>
      </w:r>
      <w:r w:rsidR="00484401" w:rsidRPr="00484401">
        <w:rPr>
          <w:sz w:val="28"/>
          <w:szCs w:val="28"/>
        </w:rPr>
        <w:t>48,8%</w:t>
      </w:r>
      <w:r w:rsidR="00486F24">
        <w:rPr>
          <w:sz w:val="28"/>
          <w:szCs w:val="28"/>
        </w:rPr>
        <w:t>), 27,3</w:t>
      </w:r>
      <w:r w:rsidR="00227F3F" w:rsidRPr="00484401">
        <w:rPr>
          <w:sz w:val="28"/>
          <w:szCs w:val="28"/>
        </w:rPr>
        <w:t xml:space="preserve"> % (</w:t>
      </w:r>
      <w:r w:rsidR="00034DAE" w:rsidRPr="00484401">
        <w:rPr>
          <w:sz w:val="28"/>
          <w:szCs w:val="28"/>
        </w:rPr>
        <w:t xml:space="preserve">в 2019 г. – </w:t>
      </w:r>
      <w:r w:rsidR="00484401" w:rsidRPr="00484401">
        <w:rPr>
          <w:sz w:val="28"/>
          <w:szCs w:val="28"/>
        </w:rPr>
        <w:t>25%</w:t>
      </w:r>
      <w:r w:rsidR="00227F3F" w:rsidRPr="00484401">
        <w:rPr>
          <w:sz w:val="28"/>
          <w:szCs w:val="28"/>
        </w:rPr>
        <w:t>) - 4 и более. От 1 до 3 конкурентов имели 22,7 % (</w:t>
      </w:r>
      <w:r w:rsidR="00034DAE" w:rsidRPr="00484401">
        <w:rPr>
          <w:sz w:val="28"/>
          <w:szCs w:val="28"/>
        </w:rPr>
        <w:t xml:space="preserve">в 2019 г. – </w:t>
      </w:r>
      <w:r w:rsidR="00484401" w:rsidRPr="00484401">
        <w:rPr>
          <w:sz w:val="28"/>
          <w:szCs w:val="28"/>
        </w:rPr>
        <w:t>22,6%</w:t>
      </w:r>
      <w:r w:rsidR="00227F3F" w:rsidRPr="00484401">
        <w:rPr>
          <w:sz w:val="28"/>
          <w:szCs w:val="28"/>
        </w:rPr>
        <w:t>) опрошенных.</w:t>
      </w:r>
    </w:p>
    <w:p w:rsidR="00D4086D" w:rsidRDefault="00227F3F" w:rsidP="00EC30C6">
      <w:pPr>
        <w:ind w:firstLine="709"/>
        <w:jc w:val="both"/>
        <w:rPr>
          <w:sz w:val="28"/>
          <w:szCs w:val="28"/>
        </w:rPr>
      </w:pPr>
      <w:r w:rsidRPr="00862C08">
        <w:rPr>
          <w:sz w:val="28"/>
          <w:szCs w:val="28"/>
        </w:rPr>
        <w:t>Важным фактором в работе и развитии бизнеса является изменение числа конкурентов</w:t>
      </w:r>
      <w:r w:rsidR="00862C08" w:rsidRPr="00862C08">
        <w:rPr>
          <w:sz w:val="28"/>
          <w:szCs w:val="28"/>
        </w:rPr>
        <w:t xml:space="preserve"> на рынке</w:t>
      </w:r>
      <w:r w:rsidR="00FC4441">
        <w:rPr>
          <w:sz w:val="28"/>
          <w:szCs w:val="28"/>
        </w:rPr>
        <w:t xml:space="preserve">, поскольку именно увеличение числа конкурентов стимулирует субъектов предпринимательской деятельности применять меры по повышению </w:t>
      </w:r>
      <w:r w:rsidR="00D4086D">
        <w:rPr>
          <w:sz w:val="28"/>
          <w:szCs w:val="28"/>
        </w:rPr>
        <w:t>конкурентоспособности</w:t>
      </w:r>
      <w:r w:rsidR="00FC4441">
        <w:rPr>
          <w:sz w:val="28"/>
          <w:szCs w:val="28"/>
        </w:rPr>
        <w:t xml:space="preserve"> своих товаров и услуг с целью удержании конкурентных преимущ</w:t>
      </w:r>
      <w:r w:rsidR="00D4086D">
        <w:rPr>
          <w:sz w:val="28"/>
          <w:szCs w:val="28"/>
        </w:rPr>
        <w:t>еств на рынке. Так респондентам предлагало</w:t>
      </w:r>
      <w:r w:rsidR="00FC4441">
        <w:rPr>
          <w:sz w:val="28"/>
          <w:szCs w:val="28"/>
        </w:rPr>
        <w:t xml:space="preserve">сь </w:t>
      </w:r>
      <w:r w:rsidR="00627940">
        <w:rPr>
          <w:sz w:val="28"/>
          <w:szCs w:val="28"/>
        </w:rPr>
        <w:t>ответить на вопрос: «Как изменилось число конкурентов бизнеса, который вы представляете на рынке товаров и услуг». Среди опрошенных су</w:t>
      </w:r>
      <w:r w:rsidR="0019397F">
        <w:rPr>
          <w:sz w:val="28"/>
          <w:szCs w:val="28"/>
        </w:rPr>
        <w:t>бъектов МСП 67% (в 2019 г. – 28,</w:t>
      </w:r>
      <w:r w:rsidR="00627940">
        <w:rPr>
          <w:sz w:val="28"/>
          <w:szCs w:val="28"/>
        </w:rPr>
        <w:t>6%) считают, что за последние 3 года число конкурентов би</w:t>
      </w:r>
      <w:r w:rsidR="00081F61">
        <w:rPr>
          <w:sz w:val="28"/>
          <w:szCs w:val="28"/>
        </w:rPr>
        <w:t>знеса, который они представляют</w:t>
      </w:r>
      <w:r w:rsidR="00627940">
        <w:rPr>
          <w:sz w:val="28"/>
          <w:szCs w:val="28"/>
        </w:rPr>
        <w:t xml:space="preserve"> на основном рынке товаров и услуг, уве</w:t>
      </w:r>
      <w:r w:rsidR="00486F24">
        <w:rPr>
          <w:sz w:val="28"/>
          <w:szCs w:val="28"/>
        </w:rPr>
        <w:t>личилось на 3 конкурента, а 27,3</w:t>
      </w:r>
      <w:r w:rsidR="00627940">
        <w:rPr>
          <w:sz w:val="28"/>
          <w:szCs w:val="28"/>
        </w:rPr>
        <w:t>% (22,6% - в 2019 г.)</w:t>
      </w:r>
      <w:r w:rsidR="00D4086D">
        <w:rPr>
          <w:sz w:val="28"/>
          <w:szCs w:val="28"/>
        </w:rPr>
        <w:t xml:space="preserve"> считают, что количество конкурентов выросло более чем на 4 конкурента.</w:t>
      </w:r>
    </w:p>
    <w:p w:rsidR="002442B4" w:rsidRDefault="00BC6982" w:rsidP="00EC30C6">
      <w:pPr>
        <w:ind w:firstLine="709"/>
        <w:jc w:val="both"/>
        <w:rPr>
          <w:sz w:val="28"/>
          <w:szCs w:val="28"/>
        </w:rPr>
      </w:pPr>
      <w:r w:rsidRPr="00D4086D">
        <w:rPr>
          <w:sz w:val="28"/>
          <w:szCs w:val="28"/>
        </w:rPr>
        <w:t xml:space="preserve">3,4% (1,1% в 2019 г.) </w:t>
      </w:r>
      <w:r w:rsidR="00D4086D">
        <w:rPr>
          <w:sz w:val="28"/>
          <w:szCs w:val="28"/>
        </w:rPr>
        <w:t>указали на то</w:t>
      </w:r>
      <w:r w:rsidRPr="00D4086D">
        <w:rPr>
          <w:sz w:val="28"/>
          <w:szCs w:val="28"/>
        </w:rPr>
        <w:t xml:space="preserve">, что количество конкурентов за последние 3 года сократилось, а 2,3% (47,6% в 2019 г.) </w:t>
      </w:r>
      <w:r w:rsidR="00D4086D">
        <w:rPr>
          <w:sz w:val="28"/>
          <w:szCs w:val="28"/>
        </w:rPr>
        <w:t>-</w:t>
      </w:r>
      <w:r w:rsidR="00F844A1" w:rsidRPr="00D4086D">
        <w:rPr>
          <w:sz w:val="28"/>
          <w:szCs w:val="28"/>
        </w:rPr>
        <w:t xml:space="preserve"> на стабильность конкурентной среды </w:t>
      </w:r>
      <w:r w:rsidR="009F44F0" w:rsidRPr="00D4086D">
        <w:rPr>
          <w:sz w:val="28"/>
          <w:szCs w:val="28"/>
        </w:rPr>
        <w:t xml:space="preserve">на </w:t>
      </w:r>
      <w:r w:rsidR="00D4086D">
        <w:rPr>
          <w:sz w:val="28"/>
          <w:szCs w:val="28"/>
        </w:rPr>
        <w:t>основном</w:t>
      </w:r>
      <w:r w:rsidR="009F44F0" w:rsidRPr="00D4086D">
        <w:rPr>
          <w:sz w:val="28"/>
          <w:szCs w:val="28"/>
        </w:rPr>
        <w:t xml:space="preserve"> рынке</w:t>
      </w:r>
      <w:r w:rsidR="00D4086D">
        <w:rPr>
          <w:sz w:val="28"/>
          <w:szCs w:val="28"/>
        </w:rPr>
        <w:t xml:space="preserve"> товаров и услуг</w:t>
      </w:r>
      <w:r w:rsidR="009F44F0" w:rsidRPr="00D4086D">
        <w:rPr>
          <w:sz w:val="28"/>
          <w:szCs w:val="28"/>
        </w:rPr>
        <w:t>,</w:t>
      </w:r>
      <w:r w:rsidR="00F844A1" w:rsidRPr="00D4086D">
        <w:rPr>
          <w:sz w:val="28"/>
          <w:szCs w:val="28"/>
        </w:rPr>
        <w:t xml:space="preserve"> который они представляют.</w:t>
      </w:r>
    </w:p>
    <w:p w:rsidR="0019397F" w:rsidRDefault="0019397F" w:rsidP="00EC30C6">
      <w:pPr>
        <w:ind w:firstLine="709"/>
        <w:jc w:val="both"/>
        <w:rPr>
          <w:sz w:val="28"/>
          <w:szCs w:val="28"/>
        </w:rPr>
      </w:pPr>
    </w:p>
    <w:p w:rsidR="0019397F" w:rsidRPr="00D4086D" w:rsidRDefault="0019397F" w:rsidP="00EC30C6">
      <w:pPr>
        <w:ind w:firstLine="709"/>
        <w:jc w:val="both"/>
        <w:rPr>
          <w:sz w:val="28"/>
          <w:szCs w:val="28"/>
        </w:rPr>
      </w:pPr>
    </w:p>
    <w:p w:rsidR="0019397F" w:rsidRDefault="0019397F" w:rsidP="00025B93">
      <w:pPr>
        <w:ind w:firstLine="709"/>
        <w:jc w:val="both"/>
        <w:rPr>
          <w:sz w:val="28"/>
          <w:szCs w:val="28"/>
        </w:rPr>
      </w:pPr>
    </w:p>
    <w:p w:rsidR="0019397F" w:rsidRDefault="0019397F" w:rsidP="00025B93">
      <w:pPr>
        <w:ind w:firstLine="709"/>
        <w:jc w:val="both"/>
        <w:rPr>
          <w:sz w:val="28"/>
          <w:szCs w:val="28"/>
        </w:rPr>
      </w:pPr>
    </w:p>
    <w:p w:rsidR="0019397F" w:rsidRDefault="0019397F" w:rsidP="00025B93">
      <w:pPr>
        <w:ind w:firstLine="709"/>
        <w:jc w:val="both"/>
        <w:rPr>
          <w:sz w:val="28"/>
          <w:szCs w:val="28"/>
        </w:rPr>
      </w:pPr>
    </w:p>
    <w:p w:rsidR="0011040B" w:rsidRPr="00025B93" w:rsidRDefault="00025B93" w:rsidP="00025B93">
      <w:pPr>
        <w:ind w:firstLine="709"/>
        <w:jc w:val="both"/>
        <w:rPr>
          <w:sz w:val="28"/>
          <w:szCs w:val="28"/>
        </w:rPr>
      </w:pPr>
      <w:r w:rsidRPr="00025B93">
        <w:rPr>
          <w:sz w:val="28"/>
          <w:szCs w:val="28"/>
        </w:rPr>
        <w:t>Так же наблюдается незначительный рост конкурентной среды на товарных рынках Петровского городского округа</w:t>
      </w:r>
      <w:r>
        <w:rPr>
          <w:sz w:val="28"/>
          <w:szCs w:val="28"/>
        </w:rPr>
        <w:t xml:space="preserve"> по</w:t>
      </w:r>
      <w:r w:rsidRPr="00025B93">
        <w:rPr>
          <w:sz w:val="28"/>
          <w:szCs w:val="28"/>
        </w:rPr>
        <w:t xml:space="preserve"> реализ</w:t>
      </w:r>
      <w:r>
        <w:rPr>
          <w:sz w:val="28"/>
          <w:szCs w:val="28"/>
        </w:rPr>
        <w:t>ации аналогичной продукции</w:t>
      </w:r>
      <w:r w:rsidRPr="00025B93">
        <w:rPr>
          <w:sz w:val="28"/>
          <w:szCs w:val="28"/>
        </w:rPr>
        <w:t xml:space="preserve"> (товар</w:t>
      </w:r>
      <w:r>
        <w:rPr>
          <w:sz w:val="28"/>
          <w:szCs w:val="28"/>
        </w:rPr>
        <w:t>ов, работ, услуг</w:t>
      </w:r>
      <w:r w:rsidRPr="00025B9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40CA2" w:rsidRDefault="00D40CA2" w:rsidP="00EC30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конкуренции среди представителей </w:t>
      </w:r>
      <w:r w:rsidR="000B7BDA">
        <w:rPr>
          <w:sz w:val="28"/>
          <w:szCs w:val="28"/>
        </w:rPr>
        <w:t>бизнеса, предлагающих аналогичную продукцию (товар, работу, услугу) приведена в диаграмме.</w:t>
      </w:r>
    </w:p>
    <w:p w:rsidR="0011040B" w:rsidRDefault="00A10E51" w:rsidP="00D40CA2">
      <w:pPr>
        <w:jc w:val="both"/>
        <w:rPr>
          <w:sz w:val="28"/>
          <w:szCs w:val="28"/>
        </w:rPr>
      </w:pPr>
      <w:r w:rsidRPr="00A10E51">
        <w:rPr>
          <w:noProof/>
          <w:sz w:val="28"/>
          <w:szCs w:val="28"/>
        </w:rPr>
        <w:drawing>
          <wp:inline distT="0" distB="0" distL="0" distR="0">
            <wp:extent cx="6153150" cy="1638300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242FD" w:rsidRDefault="00E242FD" w:rsidP="00E242FD">
      <w:pPr>
        <w:pStyle w:val="a7"/>
        <w:ind w:left="0"/>
        <w:rPr>
          <w:b/>
          <w:sz w:val="28"/>
          <w:szCs w:val="28"/>
        </w:rPr>
      </w:pPr>
    </w:p>
    <w:p w:rsidR="00DA42EB" w:rsidRDefault="00DA42EB" w:rsidP="00AD1A96">
      <w:pPr>
        <w:pStyle w:val="a7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Динамика оценки административных барьеров при ведении предпринимательской деятельности в сравнении с прошлым годом по направлениям деятельности.</w:t>
      </w:r>
    </w:p>
    <w:p w:rsidR="00E242FD" w:rsidRPr="00AD1A96" w:rsidRDefault="00E242FD" w:rsidP="00E242FD">
      <w:pPr>
        <w:pStyle w:val="a7"/>
        <w:ind w:left="0"/>
        <w:rPr>
          <w:b/>
          <w:sz w:val="28"/>
          <w:szCs w:val="28"/>
        </w:rPr>
      </w:pPr>
    </w:p>
    <w:p w:rsidR="00E242FD" w:rsidRDefault="00E242FD" w:rsidP="00EC30C6">
      <w:pPr>
        <w:ind w:firstLine="709"/>
        <w:jc w:val="both"/>
        <w:rPr>
          <w:sz w:val="28"/>
          <w:szCs w:val="28"/>
        </w:rPr>
      </w:pPr>
      <w:r w:rsidRPr="00E242FD">
        <w:rPr>
          <w:sz w:val="28"/>
          <w:szCs w:val="28"/>
        </w:rPr>
        <w:t>Одним из основных негативных факторов, препятствующих развитию конкуренции, являются административные барьеры, снижающие стимулы входа на рынки новых участников, повышающие непроизводственные издержки</w:t>
      </w:r>
      <w:r>
        <w:rPr>
          <w:sz w:val="28"/>
          <w:szCs w:val="28"/>
        </w:rPr>
        <w:t>.</w:t>
      </w:r>
      <w:r w:rsidRPr="00E242FD">
        <w:rPr>
          <w:sz w:val="28"/>
          <w:szCs w:val="28"/>
        </w:rPr>
        <w:t xml:space="preserve"> Поэтому важным</w:t>
      </w:r>
      <w:r>
        <w:rPr>
          <w:sz w:val="28"/>
          <w:szCs w:val="28"/>
        </w:rPr>
        <w:t xml:space="preserve"> </w:t>
      </w:r>
      <w:r w:rsidRPr="00E242FD">
        <w:rPr>
          <w:sz w:val="28"/>
          <w:szCs w:val="28"/>
        </w:rPr>
        <w:t>разделом</w:t>
      </w:r>
      <w:r>
        <w:rPr>
          <w:sz w:val="28"/>
          <w:szCs w:val="28"/>
        </w:rPr>
        <w:t xml:space="preserve"> </w:t>
      </w:r>
      <w:r w:rsidRPr="00E242FD">
        <w:rPr>
          <w:sz w:val="28"/>
          <w:szCs w:val="28"/>
        </w:rPr>
        <w:t>исследования является оценка субъектами предпринимательской деятельности административных барьеров, присутствующих на рынках.</w:t>
      </w:r>
    </w:p>
    <w:p w:rsidR="0011040B" w:rsidRDefault="000C31BA" w:rsidP="00EC30C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проведенного мониторинга н</w:t>
      </w:r>
      <w:r w:rsidR="0011040B">
        <w:rPr>
          <w:sz w:val="28"/>
          <w:szCs w:val="28"/>
        </w:rPr>
        <w:t xml:space="preserve">аблюдается положительная динамика в преодолении административных барьеров </w:t>
      </w:r>
      <w:r>
        <w:rPr>
          <w:sz w:val="28"/>
          <w:szCs w:val="28"/>
        </w:rPr>
        <w:t>для ведения</w:t>
      </w:r>
      <w:r w:rsidR="0011040B">
        <w:rPr>
          <w:sz w:val="28"/>
          <w:szCs w:val="28"/>
        </w:rPr>
        <w:t xml:space="preserve"> текущей деятельности и открытии нового бизнеса. </w:t>
      </w:r>
      <w:r w:rsidR="00812434">
        <w:rPr>
          <w:sz w:val="28"/>
          <w:szCs w:val="28"/>
        </w:rPr>
        <w:t>53,4</w:t>
      </w:r>
      <w:r w:rsidR="0011040B">
        <w:rPr>
          <w:sz w:val="28"/>
          <w:szCs w:val="28"/>
        </w:rPr>
        <w:t>% опрошенных (</w:t>
      </w:r>
      <w:r>
        <w:rPr>
          <w:sz w:val="28"/>
          <w:szCs w:val="28"/>
        </w:rPr>
        <w:t>в 2019</w:t>
      </w:r>
      <w:r w:rsidR="0028454E">
        <w:rPr>
          <w:sz w:val="28"/>
          <w:szCs w:val="28"/>
        </w:rPr>
        <w:t xml:space="preserve"> г. </w:t>
      </w:r>
      <w:r>
        <w:rPr>
          <w:sz w:val="28"/>
          <w:szCs w:val="28"/>
        </w:rPr>
        <w:t>–</w:t>
      </w:r>
      <w:r w:rsidR="00E242FD">
        <w:rPr>
          <w:sz w:val="28"/>
          <w:szCs w:val="28"/>
        </w:rPr>
        <w:t xml:space="preserve"> </w:t>
      </w:r>
      <w:r>
        <w:rPr>
          <w:sz w:val="28"/>
          <w:szCs w:val="28"/>
        </w:rPr>
        <w:t>48,8</w:t>
      </w:r>
      <w:r w:rsidR="0011040B">
        <w:rPr>
          <w:sz w:val="28"/>
          <w:szCs w:val="28"/>
        </w:rPr>
        <w:t xml:space="preserve">%) считают, что административные барьеры есть, но они преодолеваются без существенных затрат, </w:t>
      </w:r>
      <w:r w:rsidR="00812434">
        <w:rPr>
          <w:sz w:val="28"/>
          <w:szCs w:val="28"/>
        </w:rPr>
        <w:t>40,9</w:t>
      </w:r>
      <w:r w:rsidR="0011040B">
        <w:rPr>
          <w:sz w:val="28"/>
          <w:szCs w:val="28"/>
        </w:rPr>
        <w:t>% (</w:t>
      </w:r>
      <w:r>
        <w:rPr>
          <w:sz w:val="28"/>
          <w:szCs w:val="28"/>
        </w:rPr>
        <w:t>в 2019</w:t>
      </w:r>
      <w:r w:rsidR="00F46ED2">
        <w:rPr>
          <w:sz w:val="28"/>
          <w:szCs w:val="28"/>
        </w:rPr>
        <w:t xml:space="preserve"> г. </w:t>
      </w:r>
      <w:r>
        <w:rPr>
          <w:sz w:val="28"/>
          <w:szCs w:val="28"/>
        </w:rPr>
        <w:t>–</w:t>
      </w:r>
      <w:r w:rsidR="00E242FD">
        <w:rPr>
          <w:sz w:val="28"/>
          <w:szCs w:val="28"/>
        </w:rPr>
        <w:t xml:space="preserve"> </w:t>
      </w:r>
      <w:r>
        <w:rPr>
          <w:sz w:val="28"/>
          <w:szCs w:val="28"/>
        </w:rPr>
        <w:t>39,2</w:t>
      </w:r>
      <w:r w:rsidR="0011040B">
        <w:rPr>
          <w:sz w:val="28"/>
          <w:szCs w:val="28"/>
        </w:rPr>
        <w:t>%</w:t>
      </w:r>
      <w:r w:rsidR="00F46ED2">
        <w:rPr>
          <w:sz w:val="28"/>
          <w:szCs w:val="28"/>
        </w:rPr>
        <w:t xml:space="preserve">) </w:t>
      </w:r>
      <w:r w:rsidR="0011040B">
        <w:rPr>
          <w:sz w:val="28"/>
          <w:szCs w:val="28"/>
        </w:rPr>
        <w:t xml:space="preserve">указывают на отсутствие административных барьеров и </w:t>
      </w:r>
      <w:r w:rsidR="00812434">
        <w:rPr>
          <w:sz w:val="28"/>
          <w:szCs w:val="28"/>
        </w:rPr>
        <w:t>5,</w:t>
      </w:r>
      <w:r w:rsidR="00A961DA">
        <w:rPr>
          <w:sz w:val="28"/>
          <w:szCs w:val="28"/>
        </w:rPr>
        <w:t>7</w:t>
      </w:r>
      <w:r w:rsidR="0011040B">
        <w:rPr>
          <w:sz w:val="28"/>
          <w:szCs w:val="28"/>
        </w:rPr>
        <w:t>% (</w:t>
      </w:r>
      <w:r>
        <w:rPr>
          <w:sz w:val="28"/>
          <w:szCs w:val="28"/>
        </w:rPr>
        <w:t>в 2019</w:t>
      </w:r>
      <w:r w:rsidR="00F46ED2">
        <w:rPr>
          <w:sz w:val="28"/>
          <w:szCs w:val="28"/>
        </w:rPr>
        <w:t xml:space="preserve"> г. </w:t>
      </w:r>
      <w:r>
        <w:rPr>
          <w:sz w:val="28"/>
          <w:szCs w:val="28"/>
        </w:rPr>
        <w:t>–</w:t>
      </w:r>
      <w:r w:rsidR="00E242FD">
        <w:rPr>
          <w:sz w:val="28"/>
          <w:szCs w:val="28"/>
        </w:rPr>
        <w:t xml:space="preserve"> </w:t>
      </w:r>
      <w:r>
        <w:rPr>
          <w:sz w:val="28"/>
          <w:szCs w:val="28"/>
        </w:rPr>
        <w:t>3,5</w:t>
      </w:r>
      <w:r w:rsidR="0011040B">
        <w:rPr>
          <w:sz w:val="28"/>
          <w:szCs w:val="28"/>
        </w:rPr>
        <w:t xml:space="preserve">%) заявили о наличии </w:t>
      </w:r>
      <w:r w:rsidR="006C44F8">
        <w:rPr>
          <w:sz w:val="28"/>
          <w:szCs w:val="28"/>
        </w:rPr>
        <w:t>административных барьеров,</w:t>
      </w:r>
      <w:r w:rsidR="0011040B">
        <w:rPr>
          <w:sz w:val="28"/>
          <w:szCs w:val="28"/>
        </w:rPr>
        <w:t xml:space="preserve"> для преодоления которых</w:t>
      </w:r>
      <w:proofErr w:type="gramEnd"/>
      <w:r w:rsidR="0011040B">
        <w:rPr>
          <w:sz w:val="28"/>
          <w:szCs w:val="28"/>
        </w:rPr>
        <w:t xml:space="preserve"> необходимы существенные затраты.</w:t>
      </w:r>
    </w:p>
    <w:p w:rsidR="00E242FD" w:rsidRDefault="0011040B" w:rsidP="00D037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</w:t>
      </w:r>
      <w:r w:rsidR="000C31BA">
        <w:rPr>
          <w:sz w:val="28"/>
          <w:szCs w:val="28"/>
        </w:rPr>
        <w:t>70,5</w:t>
      </w:r>
      <w:r>
        <w:rPr>
          <w:sz w:val="28"/>
          <w:szCs w:val="28"/>
        </w:rPr>
        <w:t>% (</w:t>
      </w:r>
      <w:r w:rsidR="000C31BA">
        <w:rPr>
          <w:sz w:val="28"/>
          <w:szCs w:val="28"/>
        </w:rPr>
        <w:t>в 2019</w:t>
      </w:r>
      <w:r w:rsidR="00F46ED2">
        <w:rPr>
          <w:sz w:val="28"/>
          <w:szCs w:val="28"/>
        </w:rPr>
        <w:t xml:space="preserve"> г. </w:t>
      </w:r>
      <w:r w:rsidR="000C31BA">
        <w:rPr>
          <w:sz w:val="28"/>
          <w:szCs w:val="28"/>
        </w:rPr>
        <w:t>–</w:t>
      </w:r>
      <w:r w:rsidR="00E242FD">
        <w:rPr>
          <w:sz w:val="28"/>
          <w:szCs w:val="28"/>
        </w:rPr>
        <w:t xml:space="preserve"> </w:t>
      </w:r>
      <w:r w:rsidR="000C31BA">
        <w:rPr>
          <w:sz w:val="28"/>
          <w:szCs w:val="28"/>
        </w:rPr>
        <w:t>67,9</w:t>
      </w:r>
      <w:r w:rsidR="00E242FD">
        <w:rPr>
          <w:sz w:val="28"/>
          <w:szCs w:val="28"/>
        </w:rPr>
        <w:t>%</w:t>
      </w:r>
      <w:r w:rsidR="00F46ED2">
        <w:rPr>
          <w:sz w:val="28"/>
          <w:szCs w:val="28"/>
        </w:rPr>
        <w:t xml:space="preserve">) </w:t>
      </w:r>
      <w:r>
        <w:rPr>
          <w:sz w:val="28"/>
          <w:szCs w:val="28"/>
        </w:rPr>
        <w:t>опрошенных считают, что в 20</w:t>
      </w:r>
      <w:r w:rsidR="000C31BA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их бизнесу стало проще преодолевать административные барьеры, </w:t>
      </w:r>
      <w:r w:rsidR="00A961DA">
        <w:rPr>
          <w:sz w:val="28"/>
          <w:szCs w:val="28"/>
        </w:rPr>
        <w:t>22,7</w:t>
      </w:r>
      <w:r>
        <w:rPr>
          <w:sz w:val="28"/>
          <w:szCs w:val="28"/>
        </w:rPr>
        <w:t>% (</w:t>
      </w:r>
      <w:r w:rsidR="00F57CB2">
        <w:rPr>
          <w:sz w:val="28"/>
          <w:szCs w:val="28"/>
        </w:rPr>
        <w:t>в 2019</w:t>
      </w:r>
      <w:r w:rsidR="00F46ED2">
        <w:rPr>
          <w:sz w:val="28"/>
          <w:szCs w:val="28"/>
        </w:rPr>
        <w:t xml:space="preserve"> г. </w:t>
      </w:r>
      <w:r w:rsidR="00F57CB2">
        <w:rPr>
          <w:sz w:val="28"/>
          <w:szCs w:val="28"/>
        </w:rPr>
        <w:t>–15,4</w:t>
      </w:r>
      <w:r w:rsidR="00F46ED2">
        <w:rPr>
          <w:sz w:val="28"/>
          <w:szCs w:val="28"/>
        </w:rPr>
        <w:t xml:space="preserve">%) </w:t>
      </w:r>
      <w:r>
        <w:rPr>
          <w:sz w:val="28"/>
          <w:szCs w:val="28"/>
        </w:rPr>
        <w:t>указали</w:t>
      </w:r>
      <w:r w:rsidR="008A7A3F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полное устранение</w:t>
      </w:r>
      <w:r w:rsidR="00F57CB2">
        <w:rPr>
          <w:sz w:val="28"/>
          <w:szCs w:val="28"/>
        </w:rPr>
        <w:t xml:space="preserve"> барьеров</w:t>
      </w:r>
      <w:r>
        <w:rPr>
          <w:sz w:val="28"/>
          <w:szCs w:val="28"/>
        </w:rPr>
        <w:t xml:space="preserve"> и </w:t>
      </w:r>
      <w:r w:rsidR="00A961DA">
        <w:rPr>
          <w:sz w:val="28"/>
          <w:szCs w:val="28"/>
        </w:rPr>
        <w:t>6</w:t>
      </w:r>
      <w:r w:rsidR="00F57CB2">
        <w:rPr>
          <w:sz w:val="28"/>
          <w:szCs w:val="28"/>
        </w:rPr>
        <w:t>,</w:t>
      </w:r>
      <w:r w:rsidR="00A961DA">
        <w:rPr>
          <w:sz w:val="28"/>
          <w:szCs w:val="28"/>
        </w:rPr>
        <w:t>8</w:t>
      </w:r>
      <w:r>
        <w:rPr>
          <w:sz w:val="28"/>
          <w:szCs w:val="28"/>
        </w:rPr>
        <w:t>% (</w:t>
      </w:r>
      <w:r w:rsidR="00F57CB2">
        <w:rPr>
          <w:sz w:val="28"/>
          <w:szCs w:val="28"/>
        </w:rPr>
        <w:t>в 2019</w:t>
      </w:r>
      <w:r w:rsidR="00F46ED2">
        <w:rPr>
          <w:sz w:val="28"/>
          <w:szCs w:val="28"/>
        </w:rPr>
        <w:t xml:space="preserve"> г. </w:t>
      </w:r>
      <w:r w:rsidR="00F57CB2">
        <w:rPr>
          <w:sz w:val="28"/>
          <w:szCs w:val="28"/>
        </w:rPr>
        <w:t>–</w:t>
      </w:r>
      <w:r w:rsidR="00A961DA">
        <w:rPr>
          <w:sz w:val="28"/>
          <w:szCs w:val="28"/>
        </w:rPr>
        <w:t xml:space="preserve"> </w:t>
      </w:r>
      <w:r w:rsidR="00F57CB2">
        <w:rPr>
          <w:sz w:val="28"/>
          <w:szCs w:val="28"/>
        </w:rPr>
        <w:t>2,4</w:t>
      </w:r>
      <w:r w:rsidR="00F46ED2">
        <w:rPr>
          <w:sz w:val="28"/>
          <w:szCs w:val="28"/>
        </w:rPr>
        <w:t xml:space="preserve">%) </w:t>
      </w:r>
      <w:r>
        <w:rPr>
          <w:sz w:val="28"/>
          <w:szCs w:val="28"/>
        </w:rPr>
        <w:t>утверждают, что количество барьеров не изменилось.</w:t>
      </w:r>
    </w:p>
    <w:p w:rsidR="00E242FD" w:rsidRDefault="00E242FD" w:rsidP="00F57CB2">
      <w:pPr>
        <w:ind w:firstLine="709"/>
        <w:jc w:val="both"/>
        <w:rPr>
          <w:sz w:val="28"/>
          <w:szCs w:val="28"/>
        </w:rPr>
      </w:pPr>
    </w:p>
    <w:p w:rsidR="00700243" w:rsidRDefault="00DA42EB" w:rsidP="00AD1A96">
      <w:pPr>
        <w:pStyle w:val="a7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информации о жалобах в контрольно-надзорны</w:t>
      </w:r>
      <w:r w:rsidR="00700243">
        <w:rPr>
          <w:b/>
          <w:sz w:val="28"/>
          <w:szCs w:val="28"/>
        </w:rPr>
        <w:t>е</w:t>
      </w:r>
      <w:r w:rsidRPr="008A7A3F">
        <w:rPr>
          <w:b/>
          <w:sz w:val="28"/>
          <w:szCs w:val="28"/>
        </w:rPr>
        <w:t xml:space="preserve"> органы в динамике с прошлым годом по направлениям деятельности.</w:t>
      </w:r>
    </w:p>
    <w:p w:rsidR="00860986" w:rsidRPr="00AD1A96" w:rsidRDefault="00860986" w:rsidP="00860986">
      <w:pPr>
        <w:pStyle w:val="a7"/>
        <w:ind w:left="0"/>
        <w:rPr>
          <w:b/>
          <w:sz w:val="28"/>
          <w:szCs w:val="28"/>
        </w:rPr>
      </w:pPr>
    </w:p>
    <w:p w:rsidR="007F1336" w:rsidRDefault="00144661" w:rsidP="00C74A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проведенного анализа установлено, что в</w:t>
      </w:r>
      <w:r w:rsidR="00860986">
        <w:rPr>
          <w:sz w:val="28"/>
          <w:szCs w:val="28"/>
        </w:rPr>
        <w:t xml:space="preserve"> </w:t>
      </w:r>
      <w:r w:rsidR="00F57CB2">
        <w:rPr>
          <w:sz w:val="28"/>
          <w:szCs w:val="28"/>
        </w:rPr>
        <w:t>2020</w:t>
      </w:r>
      <w:r>
        <w:rPr>
          <w:sz w:val="28"/>
          <w:szCs w:val="28"/>
        </w:rPr>
        <w:t xml:space="preserve"> г. и </w:t>
      </w:r>
      <w:r w:rsidRPr="00140C15">
        <w:rPr>
          <w:sz w:val="28"/>
          <w:szCs w:val="28"/>
        </w:rPr>
        <w:t xml:space="preserve">2019 </w:t>
      </w:r>
      <w:r>
        <w:rPr>
          <w:sz w:val="28"/>
          <w:szCs w:val="28"/>
        </w:rPr>
        <w:t>г. от субъектов</w:t>
      </w:r>
      <w:r w:rsidRPr="00140C15">
        <w:rPr>
          <w:sz w:val="28"/>
          <w:szCs w:val="28"/>
        </w:rPr>
        <w:t xml:space="preserve"> предпринимательской деятельности</w:t>
      </w:r>
      <w:r>
        <w:rPr>
          <w:sz w:val="28"/>
          <w:szCs w:val="28"/>
        </w:rPr>
        <w:t xml:space="preserve"> осуществляющих свою деятельность на территории Петровского городского округа Ставропольского края</w:t>
      </w:r>
      <w:r w:rsidR="00860986">
        <w:rPr>
          <w:sz w:val="28"/>
          <w:szCs w:val="28"/>
        </w:rPr>
        <w:t xml:space="preserve"> </w:t>
      </w:r>
      <w:r>
        <w:rPr>
          <w:sz w:val="28"/>
          <w:szCs w:val="28"/>
        </w:rPr>
        <w:t>жалоб</w:t>
      </w:r>
      <w:r w:rsidRPr="00140C15">
        <w:rPr>
          <w:sz w:val="28"/>
          <w:szCs w:val="28"/>
        </w:rPr>
        <w:t xml:space="preserve"> в </w:t>
      </w:r>
      <w:r>
        <w:rPr>
          <w:sz w:val="28"/>
          <w:szCs w:val="28"/>
        </w:rPr>
        <w:t>контрольно-</w:t>
      </w:r>
      <w:r w:rsidRPr="00140C15">
        <w:rPr>
          <w:sz w:val="28"/>
          <w:szCs w:val="28"/>
        </w:rPr>
        <w:t>надзорные орга</w:t>
      </w:r>
      <w:r>
        <w:rPr>
          <w:sz w:val="28"/>
          <w:szCs w:val="28"/>
        </w:rPr>
        <w:t>ны не поступало</w:t>
      </w:r>
      <w:r w:rsidRPr="00140C15">
        <w:rPr>
          <w:sz w:val="28"/>
          <w:szCs w:val="28"/>
        </w:rPr>
        <w:t>.</w:t>
      </w:r>
    </w:p>
    <w:p w:rsidR="002A22E0" w:rsidRDefault="002A22E0" w:rsidP="00C74A60">
      <w:pPr>
        <w:ind w:firstLine="709"/>
        <w:jc w:val="both"/>
        <w:rPr>
          <w:sz w:val="28"/>
          <w:szCs w:val="28"/>
        </w:rPr>
      </w:pPr>
    </w:p>
    <w:p w:rsidR="002A22E0" w:rsidRDefault="002A22E0" w:rsidP="00C74A60">
      <w:pPr>
        <w:ind w:firstLine="709"/>
        <w:jc w:val="both"/>
        <w:rPr>
          <w:sz w:val="28"/>
          <w:szCs w:val="28"/>
        </w:rPr>
      </w:pPr>
    </w:p>
    <w:p w:rsidR="002A22E0" w:rsidRDefault="002A22E0" w:rsidP="00C74A60">
      <w:pPr>
        <w:ind w:firstLine="709"/>
        <w:jc w:val="both"/>
        <w:rPr>
          <w:sz w:val="28"/>
          <w:szCs w:val="28"/>
        </w:rPr>
      </w:pPr>
    </w:p>
    <w:p w:rsidR="00860986" w:rsidRDefault="00860986" w:rsidP="005B0ADD">
      <w:pPr>
        <w:jc w:val="both"/>
        <w:rPr>
          <w:sz w:val="28"/>
          <w:szCs w:val="28"/>
        </w:rPr>
      </w:pPr>
    </w:p>
    <w:p w:rsidR="00700243" w:rsidRDefault="00700243" w:rsidP="00AD1A96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Динамика оценки оказан</w:t>
      </w:r>
      <w:r w:rsidR="008A7A3F">
        <w:rPr>
          <w:b/>
          <w:sz w:val="28"/>
          <w:szCs w:val="28"/>
        </w:rPr>
        <w:t xml:space="preserve">ия услуг субъектов естественных </w:t>
      </w:r>
      <w:r>
        <w:rPr>
          <w:b/>
          <w:sz w:val="28"/>
          <w:szCs w:val="28"/>
        </w:rPr>
        <w:t>монополий, сложности и сроков их получения в сравнении с прошлым годом.</w:t>
      </w:r>
    </w:p>
    <w:p w:rsidR="002A22E0" w:rsidRPr="00AD1A96" w:rsidRDefault="002A22E0" w:rsidP="002A22E0">
      <w:pPr>
        <w:pStyle w:val="a7"/>
        <w:ind w:left="975"/>
        <w:rPr>
          <w:b/>
          <w:sz w:val="28"/>
          <w:szCs w:val="28"/>
        </w:rPr>
      </w:pPr>
    </w:p>
    <w:p w:rsidR="006C5CB1" w:rsidRDefault="0011040B" w:rsidP="00EC30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</w:t>
      </w:r>
      <w:r w:rsidR="006C5CB1">
        <w:rPr>
          <w:sz w:val="28"/>
          <w:szCs w:val="28"/>
        </w:rPr>
        <w:t xml:space="preserve">нии </w:t>
      </w:r>
      <w:r w:rsidR="005F5C15">
        <w:rPr>
          <w:sz w:val="28"/>
          <w:szCs w:val="28"/>
        </w:rPr>
        <w:t>результатов</w:t>
      </w:r>
      <w:r w:rsidR="006C5CB1">
        <w:rPr>
          <w:sz w:val="28"/>
          <w:szCs w:val="28"/>
        </w:rPr>
        <w:t xml:space="preserve"> опроса выявлен</w:t>
      </w:r>
      <w:r w:rsidR="005F5C15">
        <w:rPr>
          <w:sz w:val="28"/>
          <w:szCs w:val="28"/>
        </w:rPr>
        <w:t xml:space="preserve"> незначительный</w:t>
      </w:r>
      <w:r w:rsidR="006C5CB1">
        <w:rPr>
          <w:sz w:val="28"/>
          <w:szCs w:val="28"/>
        </w:rPr>
        <w:t xml:space="preserve"> рост удовлетворенности среди субъектов МСП </w:t>
      </w:r>
      <w:r w:rsidR="001B62E8">
        <w:rPr>
          <w:sz w:val="28"/>
          <w:szCs w:val="28"/>
        </w:rPr>
        <w:t>относительно</w:t>
      </w:r>
      <w:r w:rsidR="006C5CB1">
        <w:rPr>
          <w:sz w:val="28"/>
          <w:szCs w:val="28"/>
        </w:rPr>
        <w:t xml:space="preserve"> сложности и сроков получения доступа к услугам, предоставляемых субъектами естественных монополий</w:t>
      </w:r>
      <w:r w:rsidR="001B62E8">
        <w:rPr>
          <w:sz w:val="28"/>
          <w:szCs w:val="28"/>
        </w:rPr>
        <w:t xml:space="preserve"> (связь и «Интернет», теплоснабжение и водоснабжение)</w:t>
      </w:r>
      <w:r w:rsidR="006C5CB1">
        <w:rPr>
          <w:sz w:val="28"/>
          <w:szCs w:val="28"/>
        </w:rPr>
        <w:t>, а в отношении стоимости</w:t>
      </w:r>
      <w:r w:rsidR="00804F2C">
        <w:rPr>
          <w:sz w:val="28"/>
          <w:szCs w:val="28"/>
        </w:rPr>
        <w:t xml:space="preserve"> при подключении</w:t>
      </w:r>
      <w:r w:rsidR="006C5CB1">
        <w:rPr>
          <w:sz w:val="28"/>
          <w:szCs w:val="28"/>
        </w:rPr>
        <w:t xml:space="preserve"> предоставляемых услуг </w:t>
      </w:r>
      <w:r w:rsidR="00804F2C">
        <w:rPr>
          <w:sz w:val="28"/>
          <w:szCs w:val="28"/>
        </w:rPr>
        <w:t>наблюдается спад удовлетворенности представителей бизнеса</w:t>
      </w:r>
      <w:r w:rsidR="001B62E8">
        <w:rPr>
          <w:sz w:val="28"/>
          <w:szCs w:val="28"/>
        </w:rPr>
        <w:t>, связанный с ростом тарифов на услуги</w:t>
      </w:r>
      <w:r w:rsidR="00804F2C">
        <w:rPr>
          <w:sz w:val="28"/>
          <w:szCs w:val="28"/>
        </w:rPr>
        <w:t>.</w:t>
      </w:r>
    </w:p>
    <w:p w:rsidR="0011040B" w:rsidRDefault="00803DAC" w:rsidP="00EC30C6">
      <w:pPr>
        <w:ind w:firstLine="709"/>
        <w:jc w:val="both"/>
        <w:rPr>
          <w:sz w:val="28"/>
          <w:szCs w:val="28"/>
        </w:rPr>
      </w:pPr>
      <w:r w:rsidRPr="005F5C15">
        <w:rPr>
          <w:sz w:val="28"/>
          <w:szCs w:val="28"/>
        </w:rPr>
        <w:t>Д</w:t>
      </w:r>
      <w:r w:rsidR="0011040B" w:rsidRPr="005F5C15">
        <w:rPr>
          <w:sz w:val="28"/>
          <w:szCs w:val="28"/>
        </w:rPr>
        <w:t xml:space="preserve">инамика удовлетворенности субъектов предпринимательской деятельности на территории Петровского городского округа </w:t>
      </w:r>
      <w:r w:rsidRPr="005F5C15">
        <w:rPr>
          <w:sz w:val="28"/>
          <w:szCs w:val="28"/>
        </w:rPr>
        <w:t>приведена в диаграмме.</w:t>
      </w:r>
    </w:p>
    <w:p w:rsidR="00803DAC" w:rsidRDefault="00213448" w:rsidP="00EC30C6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0" cy="2800350"/>
            <wp:effectExtent l="0" t="0" r="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00243" w:rsidRDefault="00700243" w:rsidP="00EC30C6">
      <w:pPr>
        <w:ind w:firstLine="709"/>
        <w:jc w:val="both"/>
        <w:rPr>
          <w:sz w:val="28"/>
          <w:szCs w:val="28"/>
        </w:rPr>
      </w:pPr>
    </w:p>
    <w:p w:rsidR="00700243" w:rsidRPr="008A7A3F" w:rsidRDefault="00700243" w:rsidP="008A7A3F">
      <w:pPr>
        <w:pStyle w:val="a7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Динамика удовлетворенности качеством официальной </w:t>
      </w:r>
      <w:r w:rsidRPr="008A7A3F">
        <w:rPr>
          <w:b/>
          <w:sz w:val="28"/>
          <w:szCs w:val="28"/>
        </w:rPr>
        <w:t>информации о состоянии конкурентной среды на товарных рынках, размещаемой в открытом доступе,в сравнении с прошлым годом.</w:t>
      </w:r>
    </w:p>
    <w:p w:rsidR="00700243" w:rsidRPr="00700243" w:rsidRDefault="00700243" w:rsidP="00700243">
      <w:pPr>
        <w:pStyle w:val="a7"/>
        <w:ind w:left="1543"/>
        <w:jc w:val="center"/>
        <w:rPr>
          <w:b/>
          <w:sz w:val="28"/>
          <w:szCs w:val="28"/>
        </w:rPr>
      </w:pPr>
    </w:p>
    <w:p w:rsidR="0011040B" w:rsidRDefault="000D336A" w:rsidP="00EC30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Субъектам МСП</w:t>
      </w:r>
      <w:r w:rsidRPr="000D336A">
        <w:rPr>
          <w:sz w:val="28"/>
          <w:szCs w:val="28"/>
        </w:rPr>
        <w:t xml:space="preserve"> предлагалось дать оценку качества официальной информации о состоянии конкурентной среды на рынках </w:t>
      </w:r>
      <w:r>
        <w:rPr>
          <w:sz w:val="28"/>
          <w:szCs w:val="28"/>
        </w:rPr>
        <w:t xml:space="preserve">товаров и </w:t>
      </w:r>
      <w:r w:rsidRPr="000D336A">
        <w:rPr>
          <w:sz w:val="28"/>
          <w:szCs w:val="28"/>
        </w:rPr>
        <w:t xml:space="preserve">услуг </w:t>
      </w:r>
      <w:r>
        <w:rPr>
          <w:sz w:val="28"/>
          <w:szCs w:val="28"/>
        </w:rPr>
        <w:t>Петровского городского округа</w:t>
      </w:r>
      <w:r w:rsidRPr="000D336A">
        <w:rPr>
          <w:sz w:val="28"/>
          <w:szCs w:val="28"/>
        </w:rPr>
        <w:t xml:space="preserve"> и деятельности по содействию развитию конкуренции, размещаемой в открытом доступе, доступности получения информации со стороны органов </w:t>
      </w:r>
      <w:r w:rsidR="00E25FD4">
        <w:rPr>
          <w:sz w:val="28"/>
          <w:szCs w:val="28"/>
        </w:rPr>
        <w:t xml:space="preserve">местного самоуправления. </w:t>
      </w:r>
      <w:r w:rsidR="0011040B">
        <w:rPr>
          <w:sz w:val="28"/>
          <w:szCs w:val="28"/>
        </w:rPr>
        <w:t>В</w:t>
      </w:r>
      <w:r w:rsidR="000347E1">
        <w:rPr>
          <w:sz w:val="28"/>
          <w:szCs w:val="28"/>
        </w:rPr>
        <w:t xml:space="preserve"> среднем более 96</w:t>
      </w:r>
      <w:r w:rsidR="0011040B">
        <w:rPr>
          <w:sz w:val="28"/>
          <w:szCs w:val="28"/>
        </w:rPr>
        <w:t>%</w:t>
      </w:r>
      <w:r w:rsidR="00D40782">
        <w:rPr>
          <w:sz w:val="28"/>
          <w:szCs w:val="28"/>
        </w:rPr>
        <w:t xml:space="preserve"> (более 95% в 2019 г.)</w:t>
      </w:r>
      <w:r w:rsidR="0011040B">
        <w:rPr>
          <w:sz w:val="28"/>
          <w:szCs w:val="28"/>
        </w:rPr>
        <w:t xml:space="preserve"> опрошенных удовлетворены уровнем доступности, понятности и удобством получения официальной информации размещаемой в открытом доступе о состоянии конкурентной среды на рынках товаров и услуг Ставропольского края. </w:t>
      </w:r>
    </w:p>
    <w:p w:rsidR="00E25FD4" w:rsidRDefault="0011040B" w:rsidP="00107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востребованными каналами получения информации являются </w:t>
      </w:r>
      <w:r w:rsidR="006C44F8">
        <w:rPr>
          <w:sz w:val="28"/>
          <w:szCs w:val="28"/>
        </w:rPr>
        <w:t>официальная информация органов местного самоуправления,</w:t>
      </w:r>
      <w:r>
        <w:rPr>
          <w:sz w:val="28"/>
          <w:szCs w:val="28"/>
        </w:rPr>
        <w:t xml:space="preserve"> размещаемая на официальн</w:t>
      </w:r>
      <w:r w:rsidR="008A7A3F">
        <w:rPr>
          <w:sz w:val="28"/>
          <w:szCs w:val="28"/>
        </w:rPr>
        <w:t>ом сайте в информационной телеком</w:t>
      </w:r>
      <w:r>
        <w:rPr>
          <w:sz w:val="28"/>
          <w:szCs w:val="28"/>
        </w:rPr>
        <w:t>муникационной сети «Интер</w:t>
      </w:r>
      <w:r w:rsidR="008A7A3F">
        <w:rPr>
          <w:sz w:val="28"/>
          <w:szCs w:val="28"/>
        </w:rPr>
        <w:t xml:space="preserve">нет», а </w:t>
      </w:r>
      <w:r w:rsidR="006C44F8">
        <w:rPr>
          <w:sz w:val="28"/>
          <w:szCs w:val="28"/>
        </w:rPr>
        <w:t>также</w:t>
      </w:r>
      <w:r w:rsidR="008A7A3F">
        <w:rPr>
          <w:sz w:val="28"/>
          <w:szCs w:val="28"/>
        </w:rPr>
        <w:t xml:space="preserve"> специальные блоги, порталы и прочие электронные ресурсы.</w:t>
      </w:r>
    </w:p>
    <w:p w:rsidR="00700243" w:rsidRPr="008A7A3F" w:rsidRDefault="00700243" w:rsidP="008A7A3F">
      <w:pPr>
        <w:pStyle w:val="a7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Мониторинг удовлетворенности деятельностью в сфере </w:t>
      </w:r>
      <w:r w:rsidRPr="008A7A3F">
        <w:rPr>
          <w:b/>
          <w:sz w:val="28"/>
          <w:szCs w:val="28"/>
        </w:rPr>
        <w:t>финансовых услуг, а так же доступности для субъектов предпринимательской деятельности финансовых услуг.</w:t>
      </w:r>
    </w:p>
    <w:p w:rsidR="00700243" w:rsidRPr="00700243" w:rsidRDefault="00700243" w:rsidP="00700243">
      <w:pPr>
        <w:pStyle w:val="a7"/>
        <w:ind w:left="1543"/>
        <w:rPr>
          <w:b/>
          <w:sz w:val="28"/>
          <w:szCs w:val="28"/>
        </w:rPr>
      </w:pPr>
    </w:p>
    <w:p w:rsidR="001E339B" w:rsidRDefault="001E339B" w:rsidP="00EC30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удовлетворенности стоимостью,</w:t>
      </w:r>
      <w:r w:rsidR="007F1336">
        <w:rPr>
          <w:sz w:val="28"/>
          <w:szCs w:val="28"/>
        </w:rPr>
        <w:t xml:space="preserve"> качеством и доступностью предоставляемых услуг финансовыми организациями </w:t>
      </w:r>
      <w:r>
        <w:rPr>
          <w:sz w:val="28"/>
          <w:szCs w:val="28"/>
        </w:rPr>
        <w:t>представлена в диаграмме</w:t>
      </w:r>
      <w:r w:rsidR="007F1336">
        <w:rPr>
          <w:sz w:val="28"/>
          <w:szCs w:val="28"/>
        </w:rPr>
        <w:t>.</w:t>
      </w:r>
    </w:p>
    <w:p w:rsidR="001E339B" w:rsidRDefault="00213448" w:rsidP="001E339B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05500" cy="2552700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355EC" w:rsidRDefault="00D04015" w:rsidP="00107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Отвечая на вопрос: </w:t>
      </w:r>
      <w:proofErr w:type="gramStart"/>
      <w:r>
        <w:rPr>
          <w:sz w:val="28"/>
          <w:szCs w:val="28"/>
        </w:rPr>
        <w:t>«Какие из перечисленных барьеров, являются наиболее существенными при доступе к финансовым услугам» респонденты указали</w:t>
      </w:r>
      <w:r w:rsidR="001E339B">
        <w:rPr>
          <w:sz w:val="28"/>
          <w:szCs w:val="28"/>
        </w:rPr>
        <w:t xml:space="preserve">, что основными барьерами при доступе к финансовым услугам являются: слишком </w:t>
      </w:r>
      <w:r w:rsidR="001E339B" w:rsidRPr="00903992">
        <w:rPr>
          <w:sz w:val="28"/>
          <w:szCs w:val="28"/>
        </w:rPr>
        <w:t>низкая</w:t>
      </w:r>
      <w:r w:rsidR="001E339B" w:rsidRPr="006C44F8">
        <w:rPr>
          <w:color w:val="FF0000"/>
          <w:sz w:val="28"/>
          <w:szCs w:val="28"/>
        </w:rPr>
        <w:t xml:space="preserve"> </w:t>
      </w:r>
      <w:r w:rsidR="001E339B">
        <w:rPr>
          <w:sz w:val="28"/>
          <w:szCs w:val="28"/>
        </w:rPr>
        <w:t xml:space="preserve"> процентная ставка</w:t>
      </w:r>
      <w:r w:rsidR="00903992">
        <w:rPr>
          <w:sz w:val="28"/>
          <w:szCs w:val="28"/>
        </w:rPr>
        <w:t xml:space="preserve"> для продуктов с процентным доходом</w:t>
      </w:r>
      <w:r w:rsidR="00486F24">
        <w:rPr>
          <w:sz w:val="28"/>
          <w:szCs w:val="28"/>
        </w:rPr>
        <w:t xml:space="preserve"> (30,7</w:t>
      </w:r>
      <w:r w:rsidR="001E339B">
        <w:rPr>
          <w:sz w:val="28"/>
          <w:szCs w:val="28"/>
        </w:rPr>
        <w:t>%), отсутствие необходимости в заемных средствах (29,5%) и негативное отноше</w:t>
      </w:r>
      <w:r w:rsidR="00486F24">
        <w:rPr>
          <w:sz w:val="28"/>
          <w:szCs w:val="28"/>
        </w:rPr>
        <w:t xml:space="preserve">ние к кредитам (займам) (31,8%), 7,8% - не обладают навыками использования </w:t>
      </w:r>
      <w:proofErr w:type="spellStart"/>
      <w:r w:rsidR="00486F24">
        <w:rPr>
          <w:sz w:val="28"/>
          <w:szCs w:val="28"/>
        </w:rPr>
        <w:t>онлайн-сервисов</w:t>
      </w:r>
      <w:proofErr w:type="spellEnd"/>
      <w:r w:rsidR="00486F24">
        <w:rPr>
          <w:sz w:val="28"/>
          <w:szCs w:val="28"/>
        </w:rPr>
        <w:t>.</w:t>
      </w:r>
      <w:proofErr w:type="gramEnd"/>
    </w:p>
    <w:p w:rsidR="006B0709" w:rsidRDefault="006B0709" w:rsidP="00EC30C6">
      <w:pPr>
        <w:ind w:firstLine="709"/>
        <w:jc w:val="both"/>
        <w:rPr>
          <w:sz w:val="28"/>
          <w:szCs w:val="28"/>
        </w:rPr>
      </w:pPr>
    </w:p>
    <w:p w:rsidR="001E339B" w:rsidRPr="001E339B" w:rsidRDefault="001E339B" w:rsidP="001E339B">
      <w:pPr>
        <w:ind w:firstLine="709"/>
        <w:jc w:val="center"/>
        <w:rPr>
          <w:b/>
          <w:sz w:val="28"/>
          <w:szCs w:val="28"/>
        </w:rPr>
      </w:pPr>
      <w:r w:rsidRPr="001E339B">
        <w:rPr>
          <w:b/>
          <w:sz w:val="28"/>
          <w:szCs w:val="28"/>
          <w:lang w:val="en-US"/>
        </w:rPr>
        <w:t>III</w:t>
      </w:r>
      <w:r w:rsidRPr="001E339B">
        <w:rPr>
          <w:b/>
          <w:sz w:val="28"/>
          <w:szCs w:val="28"/>
        </w:rPr>
        <w:t xml:space="preserve">. Анализ итогов опросов населения </w:t>
      </w:r>
    </w:p>
    <w:p w:rsidR="001E339B" w:rsidRDefault="001E339B" w:rsidP="001E339B">
      <w:pPr>
        <w:ind w:firstLine="709"/>
        <w:jc w:val="center"/>
        <w:rPr>
          <w:b/>
          <w:sz w:val="28"/>
          <w:szCs w:val="28"/>
        </w:rPr>
      </w:pPr>
      <w:r w:rsidRPr="001E339B">
        <w:rPr>
          <w:b/>
          <w:sz w:val="28"/>
          <w:szCs w:val="28"/>
        </w:rPr>
        <w:t>в отношении доступности финансовых услуг</w:t>
      </w:r>
    </w:p>
    <w:p w:rsidR="001E339B" w:rsidRDefault="001E339B" w:rsidP="001E339B">
      <w:pPr>
        <w:ind w:firstLine="709"/>
        <w:jc w:val="center"/>
        <w:rPr>
          <w:b/>
          <w:sz w:val="28"/>
          <w:szCs w:val="28"/>
        </w:rPr>
      </w:pPr>
    </w:p>
    <w:p w:rsidR="00AC2AB6" w:rsidRPr="001078BC" w:rsidRDefault="00AC2AB6" w:rsidP="001078BC">
      <w:pPr>
        <w:pStyle w:val="a7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AC2AB6">
        <w:rPr>
          <w:b/>
          <w:sz w:val="28"/>
          <w:szCs w:val="28"/>
        </w:rPr>
        <w:t>Мониторинг м</w:t>
      </w:r>
      <w:r w:rsidR="00E13A39" w:rsidRPr="00AC2AB6">
        <w:rPr>
          <w:b/>
          <w:sz w:val="28"/>
          <w:szCs w:val="28"/>
        </w:rPr>
        <w:t>атериального положения населения Петровского городского округа Ставропольского края.</w:t>
      </w:r>
    </w:p>
    <w:p w:rsidR="001E339B" w:rsidRDefault="00085BF2" w:rsidP="00B66C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состояния материального положения среди населения, принявшего участие </w:t>
      </w:r>
      <w:r w:rsidR="006C44F8">
        <w:rPr>
          <w:sz w:val="28"/>
          <w:szCs w:val="28"/>
        </w:rPr>
        <w:t>в опросе,</w:t>
      </w:r>
      <w:r>
        <w:rPr>
          <w:sz w:val="28"/>
          <w:szCs w:val="28"/>
        </w:rPr>
        <w:t xml:space="preserve"> показал, что </w:t>
      </w:r>
      <w:r w:rsidR="00E13A39">
        <w:rPr>
          <w:sz w:val="28"/>
          <w:szCs w:val="28"/>
        </w:rPr>
        <w:t xml:space="preserve">финансовое состояние </w:t>
      </w:r>
      <w:r>
        <w:rPr>
          <w:sz w:val="28"/>
          <w:szCs w:val="28"/>
        </w:rPr>
        <w:t xml:space="preserve">40% респондентов </w:t>
      </w:r>
      <w:r w:rsidR="00E13A39">
        <w:rPr>
          <w:sz w:val="28"/>
          <w:szCs w:val="28"/>
        </w:rPr>
        <w:t xml:space="preserve">позволяет им </w:t>
      </w:r>
      <w:r w:rsidR="006C44F8">
        <w:rPr>
          <w:sz w:val="28"/>
          <w:szCs w:val="28"/>
        </w:rPr>
        <w:t>приобрести необходимую</w:t>
      </w:r>
      <w:r w:rsidR="00E13A39">
        <w:rPr>
          <w:sz w:val="28"/>
          <w:szCs w:val="28"/>
        </w:rPr>
        <w:t xml:space="preserve"> одежду и еду, но </w:t>
      </w:r>
      <w:r w:rsidR="00A1233E">
        <w:rPr>
          <w:sz w:val="28"/>
          <w:szCs w:val="28"/>
        </w:rPr>
        <w:t xml:space="preserve">при покупке бытовой техники </w:t>
      </w:r>
      <w:r w:rsidR="00E13A39">
        <w:rPr>
          <w:sz w:val="28"/>
          <w:szCs w:val="28"/>
        </w:rPr>
        <w:t>испытывают сложности.</w:t>
      </w:r>
    </w:p>
    <w:p w:rsidR="00DB5769" w:rsidRPr="00B66CBD" w:rsidRDefault="00213448" w:rsidP="00B66CBD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981700" cy="3314700"/>
            <wp:effectExtent l="19050" t="0" r="0" b="0"/>
            <wp:docPr id="8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C2AB6" w:rsidRPr="00AD1A96" w:rsidRDefault="00AC2AB6" w:rsidP="00AD1A96">
      <w:pPr>
        <w:pStyle w:val="a7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DB5769">
        <w:rPr>
          <w:b/>
          <w:sz w:val="28"/>
          <w:szCs w:val="28"/>
        </w:rPr>
        <w:lastRenderedPageBreak/>
        <w:t xml:space="preserve">Мониторинг </w:t>
      </w:r>
      <w:proofErr w:type="spellStart"/>
      <w:r w:rsidRPr="00DB5769">
        <w:rPr>
          <w:b/>
          <w:sz w:val="28"/>
          <w:szCs w:val="28"/>
        </w:rPr>
        <w:t>востребованности</w:t>
      </w:r>
      <w:proofErr w:type="spellEnd"/>
      <w:r w:rsidRPr="00DB5769">
        <w:rPr>
          <w:b/>
          <w:sz w:val="28"/>
          <w:szCs w:val="28"/>
        </w:rPr>
        <w:t xml:space="preserve"> финансовых услуг</w:t>
      </w:r>
      <w:r w:rsidR="00903992">
        <w:rPr>
          <w:b/>
          <w:sz w:val="28"/>
          <w:szCs w:val="28"/>
        </w:rPr>
        <w:t xml:space="preserve"> </w:t>
      </w:r>
      <w:r w:rsidRPr="00AD1A96">
        <w:rPr>
          <w:b/>
          <w:sz w:val="28"/>
          <w:szCs w:val="28"/>
        </w:rPr>
        <w:t xml:space="preserve">за </w:t>
      </w:r>
      <w:proofErr w:type="gramStart"/>
      <w:r w:rsidRPr="00AD1A96">
        <w:rPr>
          <w:b/>
          <w:sz w:val="28"/>
          <w:szCs w:val="28"/>
        </w:rPr>
        <w:t>последние</w:t>
      </w:r>
      <w:proofErr w:type="gramEnd"/>
      <w:r w:rsidRPr="00AD1A96">
        <w:rPr>
          <w:b/>
          <w:sz w:val="28"/>
          <w:szCs w:val="28"/>
        </w:rPr>
        <w:t xml:space="preserve"> 12 месяцев</w:t>
      </w:r>
      <w:r w:rsidR="004369B7" w:rsidRPr="00AD1A96">
        <w:rPr>
          <w:b/>
          <w:sz w:val="28"/>
          <w:szCs w:val="28"/>
        </w:rPr>
        <w:t>.</w:t>
      </w:r>
    </w:p>
    <w:p w:rsidR="00AC2AB6" w:rsidRPr="002B064E" w:rsidRDefault="00213448" w:rsidP="002B064E">
      <w:r w:rsidRPr="00AC2AB6">
        <w:rPr>
          <w:sz w:val="28"/>
          <w:szCs w:val="28"/>
        </w:rPr>
        <w:tab/>
      </w:r>
      <w:r w:rsidR="008C35BA" w:rsidRPr="008C35BA">
        <w:rPr>
          <w:noProof/>
        </w:rPr>
        <w:drawing>
          <wp:inline distT="0" distB="0" distL="0" distR="0">
            <wp:extent cx="5486400" cy="3200400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66CBD" w:rsidRDefault="00213448" w:rsidP="00333FEF">
      <w:pPr>
        <w:ind w:firstLine="708"/>
        <w:jc w:val="both"/>
        <w:rPr>
          <w:sz w:val="28"/>
          <w:szCs w:val="28"/>
        </w:rPr>
      </w:pPr>
      <w:r w:rsidRPr="00B03434">
        <w:rPr>
          <w:sz w:val="28"/>
          <w:szCs w:val="28"/>
        </w:rPr>
        <w:t>Проведенный анализ показал, что 43% опрошенных не пользовались ни одним из финансовых продуктов (услугой)</w:t>
      </w:r>
      <w:r w:rsidR="00903992">
        <w:rPr>
          <w:sz w:val="28"/>
          <w:szCs w:val="28"/>
        </w:rPr>
        <w:t xml:space="preserve"> в течени</w:t>
      </w:r>
      <w:proofErr w:type="gramStart"/>
      <w:r w:rsidR="00903992">
        <w:rPr>
          <w:sz w:val="28"/>
          <w:szCs w:val="28"/>
        </w:rPr>
        <w:t>и</w:t>
      </w:r>
      <w:proofErr w:type="gramEnd"/>
      <w:r w:rsidR="00903992">
        <w:rPr>
          <w:sz w:val="28"/>
          <w:szCs w:val="28"/>
        </w:rPr>
        <w:t xml:space="preserve"> последних 12 месяцев</w:t>
      </w:r>
      <w:r w:rsidRPr="00B03434">
        <w:rPr>
          <w:sz w:val="28"/>
          <w:szCs w:val="28"/>
        </w:rPr>
        <w:t xml:space="preserve"> по причине</w:t>
      </w:r>
      <w:r w:rsidR="00B66CBD">
        <w:rPr>
          <w:sz w:val="28"/>
          <w:szCs w:val="28"/>
        </w:rPr>
        <w:t>:</w:t>
      </w:r>
    </w:p>
    <w:p w:rsidR="00B66CBD" w:rsidRDefault="00B66CBD" w:rsidP="00333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3448" w:rsidRPr="00B03434">
        <w:rPr>
          <w:sz w:val="28"/>
          <w:szCs w:val="28"/>
        </w:rPr>
        <w:t xml:space="preserve"> большой удаленности финансовых организаций (0</w:t>
      </w:r>
      <w:r>
        <w:rPr>
          <w:sz w:val="28"/>
          <w:szCs w:val="28"/>
        </w:rPr>
        <w:t>,5%);</w:t>
      </w:r>
    </w:p>
    <w:p w:rsidR="00B66CBD" w:rsidRDefault="00B66CBD" w:rsidP="00333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3448" w:rsidRPr="00B03434">
        <w:rPr>
          <w:sz w:val="28"/>
          <w:szCs w:val="28"/>
        </w:rPr>
        <w:t xml:space="preserve"> </w:t>
      </w:r>
      <w:r w:rsidR="00A019E1">
        <w:rPr>
          <w:sz w:val="28"/>
          <w:szCs w:val="28"/>
        </w:rPr>
        <w:t xml:space="preserve">ставка слишком низкая (для продуктов с процентным доходом) </w:t>
      </w:r>
      <w:r>
        <w:rPr>
          <w:sz w:val="28"/>
          <w:szCs w:val="28"/>
        </w:rPr>
        <w:t>(3%);</w:t>
      </w:r>
    </w:p>
    <w:p w:rsidR="00B66CBD" w:rsidRDefault="00B66CBD" w:rsidP="00333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4615" w:rsidRPr="00B03434">
        <w:rPr>
          <w:sz w:val="28"/>
          <w:szCs w:val="28"/>
        </w:rPr>
        <w:t xml:space="preserve"> отсутствия</w:t>
      </w:r>
      <w:r w:rsidR="00213448" w:rsidRPr="00B03434">
        <w:rPr>
          <w:sz w:val="28"/>
          <w:szCs w:val="28"/>
        </w:rPr>
        <w:t xml:space="preserve"> доверия к</w:t>
      </w:r>
      <w:r>
        <w:rPr>
          <w:sz w:val="28"/>
          <w:szCs w:val="28"/>
        </w:rPr>
        <w:t xml:space="preserve"> финансовым организациям (6,3%);</w:t>
      </w:r>
    </w:p>
    <w:p w:rsidR="00B66CBD" w:rsidRDefault="00B66CBD" w:rsidP="00333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3448" w:rsidRPr="00B03434">
        <w:rPr>
          <w:sz w:val="28"/>
          <w:szCs w:val="28"/>
        </w:rPr>
        <w:t xml:space="preserve"> отсутствия свободных де</w:t>
      </w:r>
      <w:r>
        <w:rPr>
          <w:sz w:val="28"/>
          <w:szCs w:val="28"/>
        </w:rPr>
        <w:t>нежных средств (9,9%);</w:t>
      </w:r>
    </w:p>
    <w:p w:rsidR="00B66CBD" w:rsidRDefault="00B66CBD" w:rsidP="00333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3448" w:rsidRPr="00B03434">
        <w:rPr>
          <w:sz w:val="28"/>
          <w:szCs w:val="28"/>
        </w:rPr>
        <w:t xml:space="preserve"> использования иных способов размещения накоплений (10</w:t>
      </w:r>
      <w:r>
        <w:rPr>
          <w:sz w:val="28"/>
          <w:szCs w:val="28"/>
        </w:rPr>
        <w:t>,7%);</w:t>
      </w:r>
    </w:p>
    <w:p w:rsidR="00A019E1" w:rsidRDefault="00B66CBD" w:rsidP="00395F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использования данных финансовых продукто</w:t>
      </w:r>
      <w:r w:rsidR="00A019E1">
        <w:rPr>
          <w:sz w:val="28"/>
          <w:szCs w:val="28"/>
        </w:rPr>
        <w:t>в (услуг) членами семьи (12,6%);</w:t>
      </w:r>
    </w:p>
    <w:p w:rsidR="00416E8B" w:rsidRDefault="00416E8B" w:rsidP="00333FEF">
      <w:pPr>
        <w:ind w:firstLine="708"/>
        <w:jc w:val="both"/>
        <w:rPr>
          <w:sz w:val="28"/>
          <w:szCs w:val="28"/>
        </w:rPr>
      </w:pPr>
    </w:p>
    <w:p w:rsidR="00AD1A96" w:rsidRPr="00597635" w:rsidRDefault="00416E8B" w:rsidP="00A1233E">
      <w:pPr>
        <w:ind w:firstLine="708"/>
        <w:jc w:val="both"/>
        <w:rPr>
          <w:bCs/>
          <w:sz w:val="28"/>
          <w:szCs w:val="28"/>
        </w:rPr>
      </w:pPr>
      <w:r w:rsidRPr="00597635">
        <w:rPr>
          <w:bCs/>
          <w:sz w:val="28"/>
          <w:szCs w:val="28"/>
        </w:rPr>
        <w:t>Анализ использования населением  услуг кредитования</w:t>
      </w:r>
      <w:r w:rsidRPr="00597635">
        <w:rPr>
          <w:sz w:val="28"/>
          <w:szCs w:val="28"/>
        </w:rPr>
        <w:t xml:space="preserve"> </w:t>
      </w:r>
      <w:proofErr w:type="gramStart"/>
      <w:r w:rsidRPr="00597635">
        <w:rPr>
          <w:bCs/>
          <w:sz w:val="28"/>
          <w:szCs w:val="28"/>
        </w:rPr>
        <w:t>за</w:t>
      </w:r>
      <w:proofErr w:type="gramEnd"/>
      <w:r w:rsidRPr="00597635">
        <w:rPr>
          <w:bCs/>
          <w:sz w:val="28"/>
          <w:szCs w:val="28"/>
        </w:rPr>
        <w:t xml:space="preserve"> последние 12 месяцев</w:t>
      </w:r>
      <w:r w:rsidR="009515C9">
        <w:rPr>
          <w:bCs/>
          <w:sz w:val="28"/>
          <w:szCs w:val="28"/>
        </w:rPr>
        <w:t xml:space="preserve"> приведен</w:t>
      </w:r>
      <w:r w:rsidR="00597635" w:rsidRPr="00597635">
        <w:rPr>
          <w:bCs/>
          <w:sz w:val="28"/>
          <w:szCs w:val="28"/>
        </w:rPr>
        <w:t xml:space="preserve"> в таблице</w:t>
      </w:r>
      <w:r w:rsidR="006A602A">
        <w:rPr>
          <w:bCs/>
          <w:sz w:val="28"/>
          <w:szCs w:val="28"/>
        </w:rPr>
        <w:t xml:space="preserve"> 4</w:t>
      </w:r>
      <w:r w:rsidR="00597635" w:rsidRPr="00597635">
        <w:rPr>
          <w:bCs/>
          <w:sz w:val="28"/>
          <w:szCs w:val="28"/>
        </w:rPr>
        <w:t>.</w:t>
      </w:r>
    </w:p>
    <w:p w:rsidR="00416E8B" w:rsidRPr="00416E8B" w:rsidRDefault="00597635" w:rsidP="00597635">
      <w:pPr>
        <w:ind w:firstLine="708"/>
        <w:jc w:val="right"/>
      </w:pPr>
      <w:r>
        <w:t>Таблица 4</w:t>
      </w:r>
    </w:p>
    <w:tbl>
      <w:tblPr>
        <w:tblW w:w="9783" w:type="dxa"/>
        <w:tblInd w:w="93" w:type="dxa"/>
        <w:tblLook w:val="04A0"/>
      </w:tblPr>
      <w:tblGrid>
        <w:gridCol w:w="7044"/>
        <w:gridCol w:w="800"/>
        <w:gridCol w:w="1055"/>
        <w:gridCol w:w="884"/>
      </w:tblGrid>
      <w:tr w:rsidR="00416E8B" w:rsidRPr="00416E8B" w:rsidTr="00E50CA0">
        <w:trPr>
          <w:trHeight w:val="1406"/>
        </w:trPr>
        <w:tc>
          <w:tcPr>
            <w:tcW w:w="7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6E8B" w:rsidRPr="00416E8B" w:rsidRDefault="00416E8B" w:rsidP="00416E8B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bottom"/>
            <w:hideMark/>
          </w:tcPr>
          <w:p w:rsidR="00416E8B" w:rsidRPr="00416E8B" w:rsidRDefault="00416E8B" w:rsidP="00416E8B">
            <w:pPr>
              <w:jc w:val="center"/>
              <w:rPr>
                <w:sz w:val="20"/>
                <w:szCs w:val="20"/>
              </w:rPr>
            </w:pPr>
            <w:r w:rsidRPr="00416E8B">
              <w:rPr>
                <w:sz w:val="20"/>
                <w:szCs w:val="20"/>
              </w:rPr>
              <w:t>Имеется сейчас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extDirection w:val="btLr"/>
            <w:vAlign w:val="bottom"/>
            <w:hideMark/>
          </w:tcPr>
          <w:p w:rsidR="00416E8B" w:rsidRPr="00416E8B" w:rsidRDefault="00416E8B" w:rsidP="00416E8B">
            <w:pPr>
              <w:jc w:val="center"/>
              <w:rPr>
                <w:sz w:val="20"/>
                <w:szCs w:val="20"/>
              </w:rPr>
            </w:pPr>
            <w:r w:rsidRPr="00416E8B">
              <w:rPr>
                <w:sz w:val="20"/>
                <w:szCs w:val="20"/>
              </w:rPr>
              <w:t xml:space="preserve">Не имеется сейчас, но использовался за </w:t>
            </w:r>
            <w:proofErr w:type="gramStart"/>
            <w:r w:rsidRPr="00416E8B">
              <w:rPr>
                <w:sz w:val="20"/>
                <w:szCs w:val="20"/>
              </w:rPr>
              <w:t>последние</w:t>
            </w:r>
            <w:proofErr w:type="gramEnd"/>
            <w:r w:rsidRPr="00416E8B">
              <w:rPr>
                <w:sz w:val="20"/>
                <w:szCs w:val="20"/>
              </w:rPr>
              <w:t xml:space="preserve"> 12 месяцев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extDirection w:val="btLr"/>
            <w:vAlign w:val="bottom"/>
            <w:hideMark/>
          </w:tcPr>
          <w:p w:rsidR="00416E8B" w:rsidRPr="00416E8B" w:rsidRDefault="00416E8B" w:rsidP="00416E8B">
            <w:pPr>
              <w:jc w:val="center"/>
              <w:rPr>
                <w:sz w:val="20"/>
                <w:szCs w:val="20"/>
              </w:rPr>
            </w:pPr>
            <w:r w:rsidRPr="00416E8B">
              <w:rPr>
                <w:sz w:val="20"/>
                <w:szCs w:val="20"/>
              </w:rPr>
              <w:t xml:space="preserve">Не использовался за </w:t>
            </w:r>
            <w:proofErr w:type="gramStart"/>
            <w:r w:rsidRPr="00416E8B">
              <w:rPr>
                <w:sz w:val="20"/>
                <w:szCs w:val="20"/>
              </w:rPr>
              <w:t>последние</w:t>
            </w:r>
            <w:proofErr w:type="gramEnd"/>
            <w:r w:rsidRPr="00416E8B">
              <w:rPr>
                <w:sz w:val="20"/>
                <w:szCs w:val="20"/>
              </w:rPr>
              <w:t xml:space="preserve"> 12 месяцев</w:t>
            </w:r>
          </w:p>
        </w:tc>
      </w:tr>
      <w:tr w:rsidR="00416E8B" w:rsidRPr="00416E8B" w:rsidTr="00164815">
        <w:trPr>
          <w:trHeight w:val="906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6E8B" w:rsidRPr="00416E8B" w:rsidRDefault="00416E8B" w:rsidP="00416E8B">
            <w:proofErr w:type="spellStart"/>
            <w:r w:rsidRPr="00416E8B">
              <w:t>Онлайн-кредит</w:t>
            </w:r>
            <w:proofErr w:type="spellEnd"/>
            <w:r w:rsidRPr="00416E8B">
              <w:t xml:space="preserve"> в банке (договор заключен с использованием информационно-телекоммуникационной сети «Интернет», сумма кредита предоставлена получателю услуги в безналичной форме)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16E8B" w:rsidRPr="00416E8B" w:rsidRDefault="00597635" w:rsidP="00416E8B">
            <w:pPr>
              <w:jc w:val="center"/>
              <w:rPr>
                <w:rFonts w:ascii="Arial Narrow" w:hAnsi="Arial Narrow" w:cs="Arial CYR"/>
                <w:b/>
                <w:bCs/>
                <w:color w:val="000000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</w:rPr>
              <w:t>6,8%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416E8B" w:rsidRPr="00416E8B" w:rsidRDefault="00597635" w:rsidP="00416E8B">
            <w:pPr>
              <w:jc w:val="center"/>
              <w:rPr>
                <w:rFonts w:ascii="Arial Narrow" w:hAnsi="Arial Narrow" w:cs="Arial CYR"/>
                <w:b/>
                <w:bCs/>
                <w:color w:val="000000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</w:rPr>
              <w:t>3,6%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416E8B" w:rsidRPr="00416E8B" w:rsidRDefault="009515C9" w:rsidP="00416E8B">
            <w:pPr>
              <w:jc w:val="center"/>
              <w:rPr>
                <w:rFonts w:ascii="Arial Narrow" w:hAnsi="Arial Narrow" w:cs="Arial CYR"/>
                <w:b/>
                <w:bCs/>
                <w:color w:val="000000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</w:rPr>
              <w:t>89,6%</w:t>
            </w:r>
          </w:p>
        </w:tc>
      </w:tr>
      <w:tr w:rsidR="00416E8B" w:rsidRPr="00416E8B" w:rsidTr="00164815">
        <w:trPr>
          <w:trHeight w:val="25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6E8B" w:rsidRPr="00416E8B" w:rsidRDefault="00416E8B" w:rsidP="00416E8B">
            <w:r w:rsidRPr="00416E8B">
              <w:t xml:space="preserve">Иной кредит в банке, не являющийся </w:t>
            </w:r>
            <w:proofErr w:type="spellStart"/>
            <w:r w:rsidRPr="00416E8B">
              <w:t>онлайн-кредитом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16E8B" w:rsidRPr="00416E8B" w:rsidRDefault="009515C9" w:rsidP="00416E8B">
            <w:pPr>
              <w:jc w:val="center"/>
              <w:rPr>
                <w:rFonts w:ascii="Arial Narrow" w:hAnsi="Arial Narrow" w:cs="Arial CYR"/>
                <w:b/>
                <w:bCs/>
                <w:color w:val="000000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</w:rPr>
              <w:t>27,1%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416E8B" w:rsidRPr="00416E8B" w:rsidRDefault="009515C9" w:rsidP="00416E8B">
            <w:pPr>
              <w:jc w:val="center"/>
              <w:rPr>
                <w:rFonts w:ascii="Arial Narrow" w:hAnsi="Arial Narrow" w:cs="Arial CYR"/>
                <w:b/>
                <w:bCs/>
                <w:color w:val="000000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</w:rPr>
              <w:t>3,0%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416E8B" w:rsidRPr="00416E8B" w:rsidRDefault="009515C9" w:rsidP="00416E8B">
            <w:pPr>
              <w:jc w:val="center"/>
              <w:rPr>
                <w:rFonts w:ascii="Arial Narrow" w:hAnsi="Arial Narrow" w:cs="Arial CYR"/>
                <w:b/>
                <w:bCs/>
                <w:color w:val="000000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</w:rPr>
              <w:t>69,9%</w:t>
            </w:r>
          </w:p>
        </w:tc>
      </w:tr>
      <w:tr w:rsidR="00416E8B" w:rsidRPr="00416E8B" w:rsidTr="00164815">
        <w:trPr>
          <w:trHeight w:val="24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6E8B" w:rsidRPr="00416E8B" w:rsidRDefault="00416E8B" w:rsidP="00416E8B">
            <w:r w:rsidRPr="00416E8B">
              <w:t>Использование кредитного лимита по кредитной карте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16E8B" w:rsidRPr="00416E8B" w:rsidRDefault="009515C9" w:rsidP="00416E8B">
            <w:pPr>
              <w:jc w:val="center"/>
              <w:rPr>
                <w:rFonts w:ascii="Arial Narrow" w:hAnsi="Arial Narrow" w:cs="Arial CYR"/>
                <w:b/>
                <w:bCs/>
                <w:color w:val="000000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</w:rPr>
              <w:t>9</w:t>
            </w:r>
            <w:r w:rsidR="001C78E3">
              <w:rPr>
                <w:rFonts w:ascii="Arial Narrow" w:hAnsi="Arial Narrow" w:cs="Arial CYR"/>
                <w:b/>
                <w:bCs/>
                <w:color w:val="000000"/>
              </w:rPr>
              <w:t>,0</w:t>
            </w:r>
            <w:r>
              <w:rPr>
                <w:rFonts w:ascii="Arial Narrow" w:hAnsi="Arial Narrow" w:cs="Arial CYR"/>
                <w:b/>
                <w:bCs/>
                <w:color w:val="000000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416E8B" w:rsidRPr="00416E8B" w:rsidRDefault="009515C9" w:rsidP="00416E8B">
            <w:pPr>
              <w:jc w:val="center"/>
              <w:rPr>
                <w:rFonts w:ascii="Arial Narrow" w:hAnsi="Arial Narrow" w:cs="Arial CYR"/>
                <w:b/>
                <w:bCs/>
                <w:color w:val="000000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</w:rPr>
              <w:t>4,4%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416E8B" w:rsidRPr="00416E8B" w:rsidRDefault="009515C9" w:rsidP="00416E8B">
            <w:pPr>
              <w:jc w:val="center"/>
              <w:rPr>
                <w:rFonts w:ascii="Arial Narrow" w:hAnsi="Arial Narrow" w:cs="Arial CYR"/>
                <w:b/>
                <w:bCs/>
                <w:color w:val="000000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</w:rPr>
              <w:t>86,6%</w:t>
            </w:r>
          </w:p>
        </w:tc>
      </w:tr>
      <w:tr w:rsidR="00416E8B" w:rsidRPr="00416E8B" w:rsidTr="00164815">
        <w:trPr>
          <w:trHeight w:val="106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6E8B" w:rsidRPr="00416E8B" w:rsidRDefault="00416E8B" w:rsidP="00416E8B">
            <w:proofErr w:type="spellStart"/>
            <w:r w:rsidRPr="00416E8B">
              <w:t>Онлайн-заем</w:t>
            </w:r>
            <w:proofErr w:type="spellEnd"/>
            <w:r w:rsidRPr="00416E8B">
              <w:t xml:space="preserve"> в </w:t>
            </w:r>
            <w:proofErr w:type="spellStart"/>
            <w:r w:rsidRPr="00416E8B">
              <w:t>микрофинансовой</w:t>
            </w:r>
            <w:proofErr w:type="spellEnd"/>
            <w:r w:rsidRPr="00416E8B">
              <w:t xml:space="preserve"> организации (договор заключен с использованием информационно-телекоммуникационной сети «Интернет», сумма кредита предоставлена получателю услуги в безналичной форме)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16E8B" w:rsidRPr="00416E8B" w:rsidRDefault="00416E8B" w:rsidP="00416E8B">
            <w:pPr>
              <w:jc w:val="center"/>
              <w:rPr>
                <w:rFonts w:ascii="Arial Narrow" w:hAnsi="Arial Narrow" w:cs="Arial CYR"/>
                <w:b/>
                <w:bCs/>
                <w:color w:val="000000"/>
              </w:rPr>
            </w:pPr>
            <w:r w:rsidRPr="00416E8B">
              <w:rPr>
                <w:rFonts w:ascii="Arial Narrow" w:hAnsi="Arial Narrow" w:cs="Arial CYR"/>
                <w:b/>
                <w:bCs/>
                <w:color w:val="000000"/>
              </w:rPr>
              <w:t>0</w:t>
            </w:r>
            <w:r w:rsidR="009515C9">
              <w:rPr>
                <w:rFonts w:ascii="Arial Narrow" w:hAnsi="Arial Narrow" w:cs="Arial CYR"/>
                <w:b/>
                <w:bCs/>
                <w:color w:val="000000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416E8B" w:rsidRPr="00416E8B" w:rsidRDefault="00416E8B" w:rsidP="00416E8B">
            <w:pPr>
              <w:jc w:val="center"/>
              <w:rPr>
                <w:rFonts w:ascii="Arial Narrow" w:hAnsi="Arial Narrow" w:cs="Arial CYR"/>
                <w:b/>
                <w:bCs/>
                <w:color w:val="000000"/>
              </w:rPr>
            </w:pPr>
            <w:r w:rsidRPr="00416E8B">
              <w:rPr>
                <w:rFonts w:ascii="Arial Narrow" w:hAnsi="Arial Narrow" w:cs="Arial CYR"/>
                <w:b/>
                <w:bCs/>
                <w:color w:val="000000"/>
              </w:rPr>
              <w:t>0</w:t>
            </w:r>
            <w:r w:rsidR="009515C9">
              <w:rPr>
                <w:rFonts w:ascii="Arial Narrow" w:hAnsi="Arial Narrow" w:cs="Arial CYR"/>
                <w:b/>
                <w:bCs/>
                <w:color w:val="000000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416E8B" w:rsidRPr="00416E8B" w:rsidRDefault="009515C9" w:rsidP="00416E8B">
            <w:pPr>
              <w:jc w:val="center"/>
              <w:rPr>
                <w:rFonts w:ascii="Arial Narrow" w:hAnsi="Arial Narrow" w:cs="Arial CYR"/>
                <w:b/>
                <w:bCs/>
                <w:color w:val="000000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</w:rPr>
              <w:t>100</w:t>
            </w:r>
            <w:r w:rsidR="001C78E3">
              <w:rPr>
                <w:rFonts w:ascii="Arial Narrow" w:hAnsi="Arial Narrow" w:cs="Arial CYR"/>
                <w:b/>
                <w:bCs/>
                <w:color w:val="000000"/>
              </w:rPr>
              <w:t>,0</w:t>
            </w:r>
            <w:r>
              <w:rPr>
                <w:rFonts w:ascii="Arial Narrow" w:hAnsi="Arial Narrow" w:cs="Arial CYR"/>
                <w:b/>
                <w:bCs/>
                <w:color w:val="000000"/>
              </w:rPr>
              <w:t>%</w:t>
            </w:r>
          </w:p>
        </w:tc>
      </w:tr>
      <w:tr w:rsidR="00416E8B" w:rsidRPr="00416E8B" w:rsidTr="00E50CA0">
        <w:trPr>
          <w:trHeight w:val="443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6E8B" w:rsidRPr="00416E8B" w:rsidRDefault="00416E8B" w:rsidP="00416E8B">
            <w:r w:rsidRPr="00416E8B">
              <w:t xml:space="preserve">Иной заем в </w:t>
            </w:r>
            <w:proofErr w:type="spellStart"/>
            <w:r w:rsidRPr="00416E8B">
              <w:t>микрофинансовой</w:t>
            </w:r>
            <w:proofErr w:type="spellEnd"/>
            <w:r w:rsidRPr="00416E8B">
              <w:t xml:space="preserve"> организации, не являющийся </w:t>
            </w:r>
            <w:proofErr w:type="spellStart"/>
            <w:r w:rsidRPr="00416E8B">
              <w:t>онлайн-займом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16E8B" w:rsidRPr="00416E8B" w:rsidRDefault="009515C9" w:rsidP="00416E8B">
            <w:pPr>
              <w:jc w:val="center"/>
              <w:rPr>
                <w:rFonts w:ascii="Arial Narrow" w:hAnsi="Arial Narrow" w:cs="Arial CYR"/>
                <w:b/>
                <w:bCs/>
                <w:color w:val="000000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</w:rPr>
              <w:t>7,7%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416E8B" w:rsidRPr="00416E8B" w:rsidRDefault="00416E8B" w:rsidP="00416E8B">
            <w:pPr>
              <w:jc w:val="center"/>
              <w:rPr>
                <w:rFonts w:ascii="Arial Narrow" w:hAnsi="Arial Narrow" w:cs="Arial CYR"/>
                <w:b/>
                <w:bCs/>
                <w:color w:val="000000"/>
              </w:rPr>
            </w:pPr>
            <w:r w:rsidRPr="00416E8B">
              <w:rPr>
                <w:rFonts w:ascii="Arial Narrow" w:hAnsi="Arial Narrow" w:cs="Arial CYR"/>
                <w:b/>
                <w:bCs/>
                <w:color w:val="000000"/>
              </w:rPr>
              <w:t>0</w:t>
            </w:r>
            <w:r w:rsidR="009515C9">
              <w:rPr>
                <w:rFonts w:ascii="Arial Narrow" w:hAnsi="Arial Narrow" w:cs="Arial CYR"/>
                <w:b/>
                <w:bCs/>
                <w:color w:val="000000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416E8B" w:rsidRPr="00416E8B" w:rsidRDefault="009515C9" w:rsidP="00416E8B">
            <w:pPr>
              <w:jc w:val="center"/>
              <w:rPr>
                <w:rFonts w:ascii="Arial Narrow" w:hAnsi="Arial Narrow" w:cs="Arial CYR"/>
                <w:b/>
                <w:bCs/>
                <w:color w:val="000000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</w:rPr>
              <w:t>92,3%</w:t>
            </w:r>
          </w:p>
        </w:tc>
      </w:tr>
      <w:tr w:rsidR="00416E8B" w:rsidRPr="00416E8B" w:rsidTr="00E50CA0">
        <w:trPr>
          <w:trHeight w:val="201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6E8B" w:rsidRPr="00416E8B" w:rsidRDefault="00416E8B" w:rsidP="00416E8B">
            <w:proofErr w:type="spellStart"/>
            <w:r w:rsidRPr="00416E8B">
              <w:t>Онлайн-заем</w:t>
            </w:r>
            <w:proofErr w:type="spellEnd"/>
            <w:r w:rsidRPr="00416E8B">
              <w:t xml:space="preserve"> в кредитном потребительском кооперативе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16E8B" w:rsidRPr="00416E8B" w:rsidRDefault="00416E8B" w:rsidP="00416E8B">
            <w:pPr>
              <w:jc w:val="center"/>
              <w:rPr>
                <w:rFonts w:ascii="Arial Narrow" w:hAnsi="Arial Narrow" w:cs="Arial CYR"/>
                <w:b/>
                <w:bCs/>
                <w:color w:val="000000"/>
              </w:rPr>
            </w:pPr>
            <w:r w:rsidRPr="00416E8B">
              <w:rPr>
                <w:rFonts w:ascii="Arial Narrow" w:hAnsi="Arial Narrow" w:cs="Arial CYR"/>
                <w:b/>
                <w:bCs/>
                <w:color w:val="000000"/>
              </w:rPr>
              <w:t>0</w:t>
            </w:r>
            <w:r w:rsidR="009515C9">
              <w:rPr>
                <w:rFonts w:ascii="Arial Narrow" w:hAnsi="Arial Narrow" w:cs="Arial CYR"/>
                <w:b/>
                <w:bCs/>
                <w:color w:val="000000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416E8B" w:rsidRPr="00416E8B" w:rsidRDefault="00416E8B" w:rsidP="00416E8B">
            <w:pPr>
              <w:jc w:val="center"/>
              <w:rPr>
                <w:rFonts w:ascii="Arial Narrow" w:hAnsi="Arial Narrow" w:cs="Arial CYR"/>
                <w:b/>
                <w:bCs/>
                <w:color w:val="000000"/>
              </w:rPr>
            </w:pPr>
            <w:r w:rsidRPr="00416E8B">
              <w:rPr>
                <w:rFonts w:ascii="Arial Narrow" w:hAnsi="Arial Narrow" w:cs="Arial CYR"/>
                <w:b/>
                <w:bCs/>
                <w:color w:val="000000"/>
              </w:rPr>
              <w:t>0</w:t>
            </w:r>
            <w:r w:rsidR="009515C9">
              <w:rPr>
                <w:rFonts w:ascii="Arial Narrow" w:hAnsi="Arial Narrow" w:cs="Arial CYR"/>
                <w:b/>
                <w:bCs/>
                <w:color w:val="000000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416E8B" w:rsidRPr="00416E8B" w:rsidRDefault="009515C9" w:rsidP="00416E8B">
            <w:pPr>
              <w:jc w:val="center"/>
              <w:rPr>
                <w:rFonts w:ascii="Arial Narrow" w:hAnsi="Arial Narrow" w:cs="Arial CYR"/>
                <w:b/>
                <w:bCs/>
                <w:color w:val="000000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</w:rPr>
              <w:t>100</w:t>
            </w:r>
            <w:r w:rsidR="001C78E3">
              <w:rPr>
                <w:rFonts w:ascii="Arial Narrow" w:hAnsi="Arial Narrow" w:cs="Arial CYR"/>
                <w:b/>
                <w:bCs/>
                <w:color w:val="000000"/>
              </w:rPr>
              <w:t>,0</w:t>
            </w:r>
            <w:r>
              <w:rPr>
                <w:rFonts w:ascii="Arial Narrow" w:hAnsi="Arial Narrow" w:cs="Arial CYR"/>
                <w:b/>
                <w:bCs/>
                <w:color w:val="000000"/>
              </w:rPr>
              <w:t>%</w:t>
            </w:r>
          </w:p>
        </w:tc>
      </w:tr>
      <w:tr w:rsidR="00416E8B" w:rsidRPr="00416E8B" w:rsidTr="00164815">
        <w:trPr>
          <w:trHeight w:val="546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6E8B" w:rsidRPr="00416E8B" w:rsidRDefault="00416E8B" w:rsidP="00416E8B">
            <w:r w:rsidRPr="00416E8B">
              <w:t xml:space="preserve">Иной заем в кредитном потребительском кооперативе, не являющийся </w:t>
            </w:r>
            <w:proofErr w:type="spellStart"/>
            <w:r w:rsidRPr="00416E8B">
              <w:t>онлайн-займом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16E8B" w:rsidRPr="00416E8B" w:rsidRDefault="009515C9" w:rsidP="00416E8B">
            <w:pPr>
              <w:jc w:val="center"/>
              <w:rPr>
                <w:rFonts w:ascii="Arial Narrow" w:hAnsi="Arial Narrow" w:cs="Arial CYR"/>
                <w:b/>
                <w:bCs/>
                <w:color w:val="000000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</w:rPr>
              <w:t>6,3%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416E8B" w:rsidRPr="00416E8B" w:rsidRDefault="00416E8B" w:rsidP="00416E8B">
            <w:pPr>
              <w:jc w:val="center"/>
              <w:rPr>
                <w:rFonts w:ascii="Arial Narrow" w:hAnsi="Arial Narrow" w:cs="Arial CYR"/>
                <w:b/>
                <w:bCs/>
                <w:color w:val="000000"/>
              </w:rPr>
            </w:pPr>
            <w:r w:rsidRPr="00416E8B">
              <w:rPr>
                <w:rFonts w:ascii="Arial Narrow" w:hAnsi="Arial Narrow" w:cs="Arial CYR"/>
                <w:b/>
                <w:bCs/>
                <w:color w:val="000000"/>
              </w:rPr>
              <w:t>0</w:t>
            </w:r>
            <w:r w:rsidR="009515C9">
              <w:rPr>
                <w:rFonts w:ascii="Arial Narrow" w:hAnsi="Arial Narrow" w:cs="Arial CYR"/>
                <w:b/>
                <w:bCs/>
                <w:color w:val="000000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416E8B" w:rsidRPr="00416E8B" w:rsidRDefault="009515C9" w:rsidP="00416E8B">
            <w:pPr>
              <w:jc w:val="center"/>
              <w:rPr>
                <w:rFonts w:ascii="Arial Narrow" w:hAnsi="Arial Narrow" w:cs="Arial CYR"/>
                <w:b/>
                <w:bCs/>
                <w:color w:val="000000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</w:rPr>
              <w:t>93,7%</w:t>
            </w:r>
          </w:p>
        </w:tc>
      </w:tr>
      <w:tr w:rsidR="00416E8B" w:rsidRPr="00416E8B" w:rsidTr="00E50CA0">
        <w:trPr>
          <w:trHeight w:val="384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6E8B" w:rsidRPr="00416E8B" w:rsidRDefault="00416E8B" w:rsidP="00416E8B">
            <w:proofErr w:type="spellStart"/>
            <w:r w:rsidRPr="00416E8B">
              <w:t>Онлайн-заем</w:t>
            </w:r>
            <w:proofErr w:type="spellEnd"/>
            <w:r w:rsidRPr="00416E8B">
              <w:t xml:space="preserve"> в сельскохозяйственном кредитном </w:t>
            </w:r>
            <w:r w:rsidRPr="00416E8B">
              <w:lastRenderedPageBreak/>
              <w:t>потребительском кооперативе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16E8B" w:rsidRPr="00416E8B" w:rsidRDefault="00416E8B" w:rsidP="00416E8B">
            <w:pPr>
              <w:jc w:val="center"/>
              <w:rPr>
                <w:rFonts w:ascii="Arial Narrow" w:hAnsi="Arial Narrow" w:cs="Arial CYR"/>
                <w:b/>
                <w:bCs/>
                <w:color w:val="000000"/>
              </w:rPr>
            </w:pPr>
            <w:r w:rsidRPr="00416E8B">
              <w:rPr>
                <w:rFonts w:ascii="Arial Narrow" w:hAnsi="Arial Narrow" w:cs="Arial CYR"/>
                <w:b/>
                <w:bCs/>
                <w:color w:val="000000"/>
              </w:rPr>
              <w:lastRenderedPageBreak/>
              <w:t>0</w:t>
            </w:r>
            <w:r w:rsidR="009515C9">
              <w:rPr>
                <w:rFonts w:ascii="Arial Narrow" w:hAnsi="Arial Narrow" w:cs="Arial CYR"/>
                <w:b/>
                <w:bCs/>
                <w:color w:val="000000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416E8B" w:rsidRPr="00416E8B" w:rsidRDefault="00416E8B" w:rsidP="00416E8B">
            <w:pPr>
              <w:jc w:val="center"/>
              <w:rPr>
                <w:rFonts w:ascii="Arial Narrow" w:hAnsi="Arial Narrow" w:cs="Arial CYR"/>
                <w:b/>
                <w:bCs/>
                <w:color w:val="000000"/>
              </w:rPr>
            </w:pPr>
            <w:r w:rsidRPr="00416E8B">
              <w:rPr>
                <w:rFonts w:ascii="Arial Narrow" w:hAnsi="Arial Narrow" w:cs="Arial CYR"/>
                <w:b/>
                <w:bCs/>
                <w:color w:val="000000"/>
              </w:rPr>
              <w:t>0</w:t>
            </w:r>
            <w:r w:rsidR="009515C9">
              <w:rPr>
                <w:rFonts w:ascii="Arial Narrow" w:hAnsi="Arial Narrow" w:cs="Arial CYR"/>
                <w:b/>
                <w:bCs/>
                <w:color w:val="000000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416E8B" w:rsidRPr="00416E8B" w:rsidRDefault="009515C9" w:rsidP="00416E8B">
            <w:pPr>
              <w:jc w:val="center"/>
              <w:rPr>
                <w:rFonts w:ascii="Arial Narrow" w:hAnsi="Arial Narrow" w:cs="Arial CYR"/>
                <w:b/>
                <w:bCs/>
                <w:color w:val="000000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</w:rPr>
              <w:t>100</w:t>
            </w:r>
            <w:r w:rsidR="001C78E3">
              <w:rPr>
                <w:rFonts w:ascii="Arial Narrow" w:hAnsi="Arial Narrow" w:cs="Arial CYR"/>
                <w:b/>
                <w:bCs/>
                <w:color w:val="000000"/>
              </w:rPr>
              <w:t>,0</w:t>
            </w:r>
            <w:r>
              <w:rPr>
                <w:rFonts w:ascii="Arial Narrow" w:hAnsi="Arial Narrow" w:cs="Arial CYR"/>
                <w:b/>
                <w:bCs/>
                <w:color w:val="000000"/>
              </w:rPr>
              <w:t>%</w:t>
            </w:r>
          </w:p>
        </w:tc>
      </w:tr>
      <w:tr w:rsidR="00416E8B" w:rsidRPr="00416E8B" w:rsidTr="00164815">
        <w:trPr>
          <w:trHeight w:val="556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6E8B" w:rsidRPr="00416E8B" w:rsidRDefault="00416E8B" w:rsidP="00416E8B">
            <w:r w:rsidRPr="00416E8B">
              <w:lastRenderedPageBreak/>
              <w:t xml:space="preserve">Иной заем в сельскохозяйственном кредитном потребительском кооперативе, не являющийся </w:t>
            </w:r>
            <w:proofErr w:type="spellStart"/>
            <w:r w:rsidRPr="00416E8B">
              <w:t>онлайн-займом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16E8B" w:rsidRPr="00416E8B" w:rsidRDefault="009515C9" w:rsidP="00416E8B">
            <w:pPr>
              <w:jc w:val="center"/>
              <w:rPr>
                <w:rFonts w:ascii="Arial Narrow" w:hAnsi="Arial Narrow" w:cs="Arial CYR"/>
                <w:b/>
                <w:bCs/>
                <w:color w:val="000000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</w:rPr>
              <w:t>6,6%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416E8B" w:rsidRPr="00416E8B" w:rsidRDefault="00416E8B" w:rsidP="00416E8B">
            <w:pPr>
              <w:jc w:val="center"/>
              <w:rPr>
                <w:rFonts w:ascii="Arial Narrow" w:hAnsi="Arial Narrow" w:cs="Arial CYR"/>
                <w:b/>
                <w:bCs/>
                <w:color w:val="000000"/>
              </w:rPr>
            </w:pPr>
            <w:r w:rsidRPr="00416E8B">
              <w:rPr>
                <w:rFonts w:ascii="Arial Narrow" w:hAnsi="Arial Narrow" w:cs="Arial CYR"/>
                <w:b/>
                <w:bCs/>
                <w:color w:val="000000"/>
              </w:rPr>
              <w:t>0</w:t>
            </w:r>
            <w:r w:rsidR="009515C9">
              <w:rPr>
                <w:rFonts w:ascii="Arial Narrow" w:hAnsi="Arial Narrow" w:cs="Arial CYR"/>
                <w:b/>
                <w:bCs/>
                <w:color w:val="000000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416E8B" w:rsidRPr="00416E8B" w:rsidRDefault="009515C9" w:rsidP="00416E8B">
            <w:pPr>
              <w:jc w:val="center"/>
              <w:rPr>
                <w:rFonts w:ascii="Arial Narrow" w:hAnsi="Arial Narrow" w:cs="Arial CYR"/>
                <w:b/>
                <w:bCs/>
                <w:color w:val="000000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</w:rPr>
              <w:t>93,4%</w:t>
            </w:r>
          </w:p>
        </w:tc>
      </w:tr>
      <w:tr w:rsidR="00416E8B" w:rsidRPr="00416E8B" w:rsidTr="00164815">
        <w:trPr>
          <w:trHeight w:val="272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6E8B" w:rsidRPr="00416E8B" w:rsidRDefault="00416E8B" w:rsidP="00416E8B">
            <w:r w:rsidRPr="00416E8B">
              <w:t>Заем в ломбарде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416E8B" w:rsidRPr="00416E8B" w:rsidRDefault="009515C9" w:rsidP="00416E8B">
            <w:pPr>
              <w:jc w:val="center"/>
              <w:rPr>
                <w:rFonts w:ascii="Arial Narrow" w:hAnsi="Arial Narrow" w:cs="Arial CYR"/>
                <w:b/>
                <w:bCs/>
                <w:color w:val="000000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</w:rPr>
              <w:t>0,8%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416E8B" w:rsidRPr="00416E8B" w:rsidRDefault="009515C9" w:rsidP="00416E8B">
            <w:pPr>
              <w:jc w:val="center"/>
              <w:rPr>
                <w:rFonts w:ascii="Arial Narrow" w:hAnsi="Arial Narrow" w:cs="Arial CYR"/>
                <w:b/>
                <w:bCs/>
                <w:color w:val="000000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</w:rPr>
              <w:t>0,6%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416E8B" w:rsidRPr="00416E8B" w:rsidRDefault="009515C9" w:rsidP="00416E8B">
            <w:pPr>
              <w:jc w:val="center"/>
              <w:rPr>
                <w:rFonts w:ascii="Arial Narrow" w:hAnsi="Arial Narrow" w:cs="Arial CYR"/>
                <w:b/>
                <w:bCs/>
                <w:color w:val="000000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</w:rPr>
              <w:t>98,6%</w:t>
            </w:r>
          </w:p>
        </w:tc>
      </w:tr>
    </w:tbl>
    <w:p w:rsidR="00213448" w:rsidRPr="00E50CA0" w:rsidRDefault="00213448" w:rsidP="005A130B">
      <w:pPr>
        <w:rPr>
          <w:sz w:val="16"/>
          <w:szCs w:val="16"/>
        </w:rPr>
      </w:pPr>
    </w:p>
    <w:p w:rsidR="00CE702F" w:rsidRDefault="001B789B" w:rsidP="00333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услуг кредитования более </w:t>
      </w:r>
      <w:r w:rsidR="00732729">
        <w:rPr>
          <w:sz w:val="28"/>
          <w:szCs w:val="28"/>
        </w:rPr>
        <w:t>24,1</w:t>
      </w:r>
      <w:r>
        <w:rPr>
          <w:sz w:val="28"/>
          <w:szCs w:val="28"/>
        </w:rPr>
        <w:t>% опрошенных не воспользовались данными финансовыми продуктами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последних 12 месяцев.</w:t>
      </w:r>
      <w:r w:rsidR="00395FA0">
        <w:rPr>
          <w:sz w:val="28"/>
          <w:szCs w:val="28"/>
        </w:rPr>
        <w:t xml:space="preserve"> </w:t>
      </w:r>
      <w:r w:rsidR="00732729">
        <w:rPr>
          <w:sz w:val="28"/>
          <w:szCs w:val="28"/>
        </w:rPr>
        <w:t>10</w:t>
      </w:r>
      <w:r w:rsidR="001F7D51">
        <w:rPr>
          <w:sz w:val="28"/>
          <w:szCs w:val="28"/>
        </w:rPr>
        <w:t>,4</w:t>
      </w:r>
      <w:r w:rsidR="006B4317">
        <w:rPr>
          <w:sz w:val="28"/>
          <w:szCs w:val="28"/>
        </w:rPr>
        <w:t xml:space="preserve">% респондентов указали, что услугами кредитования (займа) уже пользуются члены их семьи, а так же у </w:t>
      </w:r>
      <w:r w:rsidR="00732729">
        <w:rPr>
          <w:sz w:val="28"/>
          <w:szCs w:val="28"/>
        </w:rPr>
        <w:t>2,5</w:t>
      </w:r>
      <w:r w:rsidR="006B4317">
        <w:rPr>
          <w:sz w:val="28"/>
          <w:szCs w:val="28"/>
        </w:rPr>
        <w:t>% опрошенных нет необходимости в заемных средствах</w:t>
      </w:r>
      <w:r w:rsidR="00E05529">
        <w:rPr>
          <w:sz w:val="28"/>
          <w:szCs w:val="28"/>
        </w:rPr>
        <w:t xml:space="preserve">, </w:t>
      </w:r>
      <w:r w:rsidR="00732729">
        <w:rPr>
          <w:sz w:val="28"/>
          <w:szCs w:val="28"/>
        </w:rPr>
        <w:t>3,</w:t>
      </w:r>
      <w:r w:rsidR="001F7D51">
        <w:rPr>
          <w:sz w:val="28"/>
          <w:szCs w:val="28"/>
        </w:rPr>
        <w:t>3</w:t>
      </w:r>
      <w:r w:rsidR="00E05529">
        <w:rPr>
          <w:sz w:val="28"/>
          <w:szCs w:val="28"/>
        </w:rPr>
        <w:t xml:space="preserve">% отрицательно относятся к кредитам (займам), </w:t>
      </w:r>
      <w:r w:rsidR="00732729">
        <w:rPr>
          <w:sz w:val="28"/>
          <w:szCs w:val="28"/>
        </w:rPr>
        <w:t>1,6</w:t>
      </w:r>
      <w:r w:rsidR="00E05529">
        <w:rPr>
          <w:sz w:val="28"/>
          <w:szCs w:val="28"/>
        </w:rPr>
        <w:t>% используют иные способы получения займов</w:t>
      </w:r>
      <w:r w:rsidR="001F7D51">
        <w:rPr>
          <w:sz w:val="28"/>
          <w:szCs w:val="28"/>
        </w:rPr>
        <w:t xml:space="preserve"> </w:t>
      </w:r>
      <w:r w:rsidR="00E05529">
        <w:rPr>
          <w:sz w:val="28"/>
          <w:szCs w:val="28"/>
        </w:rPr>
        <w:t xml:space="preserve">и </w:t>
      </w:r>
      <w:r w:rsidR="00732729">
        <w:rPr>
          <w:sz w:val="28"/>
          <w:szCs w:val="28"/>
        </w:rPr>
        <w:t>2,7</w:t>
      </w:r>
      <w:r w:rsidR="00E05529">
        <w:rPr>
          <w:sz w:val="28"/>
          <w:szCs w:val="28"/>
        </w:rPr>
        <w:t>% ссылаются на высокие процентные ставки по кредитованию.</w:t>
      </w:r>
    </w:p>
    <w:p w:rsidR="001B789B" w:rsidRDefault="00CE702F" w:rsidP="00333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малая доля опрошенных (</w:t>
      </w:r>
      <w:r w:rsidR="001F7D51">
        <w:rPr>
          <w:sz w:val="28"/>
          <w:szCs w:val="28"/>
        </w:rPr>
        <w:t>1,4</w:t>
      </w:r>
      <w:r>
        <w:rPr>
          <w:sz w:val="28"/>
          <w:szCs w:val="28"/>
        </w:rPr>
        <w:t xml:space="preserve">%) не уверены в безопасности </w:t>
      </w:r>
      <w:proofErr w:type="spellStart"/>
      <w:r>
        <w:rPr>
          <w:sz w:val="28"/>
          <w:szCs w:val="28"/>
        </w:rPr>
        <w:t>онлайн-</w:t>
      </w:r>
      <w:r w:rsidR="006C44F8">
        <w:rPr>
          <w:sz w:val="28"/>
          <w:szCs w:val="28"/>
        </w:rPr>
        <w:t>сервисов</w:t>
      </w:r>
      <w:proofErr w:type="spellEnd"/>
      <w:r w:rsidR="006C44F8">
        <w:rPr>
          <w:sz w:val="28"/>
          <w:szCs w:val="28"/>
        </w:rPr>
        <w:t xml:space="preserve"> финансовых</w:t>
      </w:r>
      <w:r>
        <w:rPr>
          <w:sz w:val="28"/>
          <w:szCs w:val="28"/>
        </w:rPr>
        <w:t xml:space="preserve"> организаций</w:t>
      </w:r>
      <w:r w:rsidR="001F7D51">
        <w:rPr>
          <w:sz w:val="28"/>
          <w:szCs w:val="28"/>
        </w:rPr>
        <w:t xml:space="preserve">, 0,3% </w:t>
      </w:r>
      <w:r w:rsidR="00A51CED">
        <w:rPr>
          <w:sz w:val="28"/>
          <w:szCs w:val="28"/>
        </w:rPr>
        <w:t xml:space="preserve">респондентов </w:t>
      </w:r>
      <w:r w:rsidR="001F7D51">
        <w:rPr>
          <w:sz w:val="28"/>
          <w:szCs w:val="28"/>
        </w:rPr>
        <w:t xml:space="preserve">не обладает навыками использования </w:t>
      </w:r>
      <w:proofErr w:type="spellStart"/>
      <w:r w:rsidR="001F7D51">
        <w:rPr>
          <w:sz w:val="28"/>
          <w:szCs w:val="28"/>
        </w:rPr>
        <w:t>онлайн-сервисов</w:t>
      </w:r>
      <w:proofErr w:type="spellEnd"/>
      <w:r>
        <w:rPr>
          <w:sz w:val="28"/>
          <w:szCs w:val="28"/>
        </w:rPr>
        <w:t xml:space="preserve"> </w:t>
      </w:r>
      <w:r w:rsidR="00A51CE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F7D51">
        <w:rPr>
          <w:sz w:val="28"/>
          <w:szCs w:val="28"/>
        </w:rPr>
        <w:t xml:space="preserve">1,4% </w:t>
      </w:r>
      <w:r>
        <w:rPr>
          <w:sz w:val="28"/>
          <w:szCs w:val="28"/>
        </w:rPr>
        <w:t>не доверяют им в достаточной степени</w:t>
      </w:r>
      <w:r w:rsidR="001F7D51">
        <w:rPr>
          <w:sz w:val="28"/>
          <w:szCs w:val="28"/>
        </w:rPr>
        <w:t>,</w:t>
      </w:r>
      <w:r w:rsidR="001F7D51" w:rsidRPr="001F7D51">
        <w:rPr>
          <w:sz w:val="28"/>
          <w:szCs w:val="28"/>
        </w:rPr>
        <w:t xml:space="preserve"> </w:t>
      </w:r>
      <w:r w:rsidR="001F7D51">
        <w:rPr>
          <w:sz w:val="28"/>
          <w:szCs w:val="28"/>
        </w:rPr>
        <w:t>чтобы привлекать у них денежные средства</w:t>
      </w:r>
      <w:r w:rsidR="00A51CED">
        <w:rPr>
          <w:sz w:val="28"/>
          <w:szCs w:val="28"/>
        </w:rPr>
        <w:t xml:space="preserve"> и 0,5% указывают на отдаленность финансовых организаций</w:t>
      </w:r>
      <w:r>
        <w:rPr>
          <w:sz w:val="28"/>
          <w:szCs w:val="28"/>
        </w:rPr>
        <w:t>.</w:t>
      </w:r>
    </w:p>
    <w:p w:rsidR="00A1233E" w:rsidRDefault="00A1233E" w:rsidP="00333FEF">
      <w:pPr>
        <w:ind w:firstLine="708"/>
        <w:jc w:val="both"/>
        <w:rPr>
          <w:sz w:val="28"/>
          <w:szCs w:val="28"/>
        </w:rPr>
      </w:pPr>
    </w:p>
    <w:p w:rsidR="006A7400" w:rsidRDefault="00B36102" w:rsidP="008B07C1">
      <w:pPr>
        <w:rPr>
          <w:sz w:val="28"/>
          <w:szCs w:val="28"/>
        </w:rPr>
      </w:pPr>
      <w:r w:rsidRPr="00B36102">
        <w:rPr>
          <w:noProof/>
          <w:sz w:val="28"/>
          <w:szCs w:val="28"/>
        </w:rPr>
        <w:drawing>
          <wp:inline distT="0" distB="0" distL="0" distR="0">
            <wp:extent cx="6181725" cy="4333875"/>
            <wp:effectExtent l="0" t="0" r="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B07C1" w:rsidRPr="00536927" w:rsidRDefault="00536927" w:rsidP="00B66CBD">
      <w:pPr>
        <w:ind w:firstLine="708"/>
        <w:jc w:val="both"/>
        <w:rPr>
          <w:sz w:val="28"/>
          <w:szCs w:val="28"/>
        </w:rPr>
      </w:pPr>
      <w:r w:rsidRPr="00536927">
        <w:rPr>
          <w:sz w:val="28"/>
          <w:szCs w:val="28"/>
        </w:rPr>
        <w:t xml:space="preserve">Наиболее распространенными среди населения финансовыми продуктами являются расчетные (не кредитные) банковские карты. Доля пользователей зарплатных карт, оформленных работодателем, составляет </w:t>
      </w:r>
      <w:r>
        <w:rPr>
          <w:sz w:val="28"/>
          <w:szCs w:val="28"/>
        </w:rPr>
        <w:t>67,9</w:t>
      </w:r>
      <w:r w:rsidRPr="00536927">
        <w:rPr>
          <w:sz w:val="28"/>
          <w:szCs w:val="28"/>
        </w:rPr>
        <w:t xml:space="preserve">%, дебетовых </w:t>
      </w:r>
      <w:r>
        <w:rPr>
          <w:sz w:val="28"/>
          <w:szCs w:val="28"/>
        </w:rPr>
        <w:t>–24,</w:t>
      </w:r>
      <w:r w:rsidR="009F5679">
        <w:rPr>
          <w:sz w:val="28"/>
          <w:szCs w:val="28"/>
        </w:rPr>
        <w:t>1</w:t>
      </w:r>
      <w:r>
        <w:rPr>
          <w:sz w:val="28"/>
          <w:szCs w:val="28"/>
        </w:rPr>
        <w:t>%, расчетных – 7,9%.</w:t>
      </w:r>
      <w:r w:rsidRPr="00536927">
        <w:rPr>
          <w:sz w:val="28"/>
          <w:szCs w:val="28"/>
        </w:rPr>
        <w:t xml:space="preserve"> </w:t>
      </w:r>
      <w:r w:rsidR="009F5679">
        <w:rPr>
          <w:sz w:val="28"/>
          <w:szCs w:val="28"/>
        </w:rPr>
        <w:t>100</w:t>
      </w:r>
      <w:r w:rsidR="009F5679" w:rsidRPr="00536927">
        <w:rPr>
          <w:sz w:val="28"/>
          <w:szCs w:val="28"/>
        </w:rPr>
        <w:t>% населения</w:t>
      </w:r>
      <w:r w:rsidR="009F5679">
        <w:rPr>
          <w:sz w:val="28"/>
          <w:szCs w:val="28"/>
        </w:rPr>
        <w:t xml:space="preserve"> Петровского городского округа используют</w:t>
      </w:r>
      <w:r w:rsidR="009F5679" w:rsidRPr="00536927">
        <w:rPr>
          <w:sz w:val="28"/>
          <w:szCs w:val="28"/>
        </w:rPr>
        <w:t xml:space="preserve"> </w:t>
      </w:r>
      <w:r w:rsidRPr="00536927">
        <w:rPr>
          <w:sz w:val="28"/>
          <w:szCs w:val="28"/>
        </w:rPr>
        <w:t>банковски</w:t>
      </w:r>
      <w:r w:rsidR="009F5679">
        <w:rPr>
          <w:sz w:val="28"/>
          <w:szCs w:val="28"/>
        </w:rPr>
        <w:t>е</w:t>
      </w:r>
      <w:r w:rsidRPr="00536927">
        <w:rPr>
          <w:sz w:val="28"/>
          <w:szCs w:val="28"/>
        </w:rPr>
        <w:t xml:space="preserve"> карт</w:t>
      </w:r>
      <w:r w:rsidR="009F5679">
        <w:rPr>
          <w:sz w:val="28"/>
          <w:szCs w:val="28"/>
        </w:rPr>
        <w:t>ы</w:t>
      </w:r>
      <w:r w:rsidRPr="00536927">
        <w:rPr>
          <w:sz w:val="28"/>
          <w:szCs w:val="28"/>
        </w:rPr>
        <w:t>.</w:t>
      </w:r>
    </w:p>
    <w:p w:rsidR="00DB5769" w:rsidRPr="004369B7" w:rsidRDefault="004369B7" w:rsidP="00B66CBD">
      <w:pPr>
        <w:ind w:firstLine="708"/>
        <w:jc w:val="both"/>
        <w:rPr>
          <w:sz w:val="28"/>
          <w:szCs w:val="28"/>
        </w:rPr>
      </w:pPr>
      <w:r w:rsidRPr="004369B7">
        <w:rPr>
          <w:sz w:val="28"/>
          <w:szCs w:val="28"/>
        </w:rPr>
        <w:t>На втором месте по популярности - кредитные продукты. Около трети участников исследования (</w:t>
      </w:r>
      <w:r>
        <w:rPr>
          <w:sz w:val="28"/>
          <w:szCs w:val="28"/>
        </w:rPr>
        <w:t>34</w:t>
      </w:r>
      <w:r w:rsidR="009F5679">
        <w:rPr>
          <w:sz w:val="28"/>
          <w:szCs w:val="28"/>
        </w:rPr>
        <w:t>,1</w:t>
      </w:r>
      <w:r w:rsidRPr="004369B7">
        <w:rPr>
          <w:sz w:val="28"/>
          <w:szCs w:val="28"/>
        </w:rPr>
        <w:t>%) указали</w:t>
      </w:r>
      <w:r w:rsidR="009F5679">
        <w:rPr>
          <w:sz w:val="28"/>
          <w:szCs w:val="28"/>
        </w:rPr>
        <w:t xml:space="preserve"> на</w:t>
      </w:r>
      <w:r w:rsidRPr="004369B7">
        <w:rPr>
          <w:sz w:val="28"/>
          <w:szCs w:val="28"/>
        </w:rPr>
        <w:t xml:space="preserve"> наличие </w:t>
      </w:r>
      <w:r>
        <w:rPr>
          <w:sz w:val="28"/>
          <w:szCs w:val="28"/>
        </w:rPr>
        <w:t>кредитных карт</w:t>
      </w:r>
      <w:r w:rsidRPr="004369B7">
        <w:rPr>
          <w:sz w:val="28"/>
          <w:szCs w:val="28"/>
        </w:rPr>
        <w:t>.</w:t>
      </w:r>
    </w:p>
    <w:p w:rsidR="00D53F6F" w:rsidRDefault="00BF1EF9" w:rsidP="00BF1EF9">
      <w:pPr>
        <w:rPr>
          <w:sz w:val="28"/>
          <w:szCs w:val="28"/>
        </w:rPr>
      </w:pPr>
      <w:r w:rsidRPr="00BF1EF9">
        <w:rPr>
          <w:noProof/>
          <w:sz w:val="28"/>
          <w:szCs w:val="28"/>
        </w:rPr>
        <w:lastRenderedPageBreak/>
        <w:drawing>
          <wp:inline distT="0" distB="0" distL="0" distR="0">
            <wp:extent cx="5829300" cy="3048000"/>
            <wp:effectExtent l="0" t="0" r="0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E238A" w:rsidRDefault="00737DFA" w:rsidP="009F56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37DFA" w:rsidRDefault="00737DFA" w:rsidP="001E2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анализа использования населением различных форм дистанционного доступа к банковскому счету было выявлено, что широкую популярность среди опрошенных</w:t>
      </w:r>
      <w:r w:rsidR="00266743">
        <w:rPr>
          <w:sz w:val="28"/>
          <w:szCs w:val="28"/>
        </w:rPr>
        <w:t xml:space="preserve"> (100%)</w:t>
      </w:r>
      <w:r>
        <w:rPr>
          <w:sz w:val="28"/>
          <w:szCs w:val="28"/>
        </w:rPr>
        <w:t xml:space="preserve"> получили мобильные </w:t>
      </w:r>
      <w:proofErr w:type="gramStart"/>
      <w:r>
        <w:rPr>
          <w:sz w:val="28"/>
          <w:szCs w:val="28"/>
        </w:rPr>
        <w:t>приложения</w:t>
      </w:r>
      <w:proofErr w:type="gramEnd"/>
      <w:r>
        <w:rPr>
          <w:sz w:val="28"/>
          <w:szCs w:val="28"/>
        </w:rPr>
        <w:t xml:space="preserve"> для мобильных устройств позволяющие получить удаленный доступ </w:t>
      </w:r>
      <w:r w:rsidR="00266743">
        <w:rPr>
          <w:sz w:val="28"/>
          <w:szCs w:val="28"/>
        </w:rPr>
        <w:t>к банковскому счету.</w:t>
      </w:r>
    </w:p>
    <w:p w:rsidR="001E238A" w:rsidRDefault="001E238A" w:rsidP="001E238A">
      <w:pPr>
        <w:ind w:firstLine="709"/>
        <w:jc w:val="both"/>
        <w:rPr>
          <w:sz w:val="28"/>
          <w:szCs w:val="28"/>
        </w:rPr>
      </w:pPr>
    </w:p>
    <w:p w:rsidR="001E238A" w:rsidRDefault="00A80A8E" w:rsidP="009F56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238A">
        <w:rPr>
          <w:sz w:val="28"/>
          <w:szCs w:val="28"/>
        </w:rPr>
        <w:t>Если рассматривать степень использования населения страховых продуктов, то можно сделать вывод: среди участников опроса</w:t>
      </w:r>
      <w:r>
        <w:rPr>
          <w:sz w:val="28"/>
          <w:szCs w:val="28"/>
        </w:rPr>
        <w:t xml:space="preserve"> наиболее популярным</w:t>
      </w:r>
      <w:r w:rsidR="001E238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1E238A">
        <w:rPr>
          <w:sz w:val="28"/>
          <w:szCs w:val="28"/>
        </w:rPr>
        <w:t>видами</w:t>
      </w:r>
      <w:r>
        <w:rPr>
          <w:sz w:val="28"/>
          <w:szCs w:val="28"/>
        </w:rPr>
        <w:t xml:space="preserve"> страхования является добровольное</w:t>
      </w:r>
      <w:r w:rsidR="00FE439B">
        <w:rPr>
          <w:sz w:val="28"/>
          <w:szCs w:val="28"/>
        </w:rPr>
        <w:t xml:space="preserve"> медицинское страхование (100%), которое</w:t>
      </w:r>
      <w:r w:rsidR="001E238A">
        <w:rPr>
          <w:sz w:val="28"/>
          <w:szCs w:val="28"/>
        </w:rPr>
        <w:t xml:space="preserve"> часто</w:t>
      </w:r>
      <w:r w:rsidR="00FE439B">
        <w:rPr>
          <w:sz w:val="28"/>
          <w:szCs w:val="28"/>
        </w:rPr>
        <w:t xml:space="preserve"> предлагают работодатели в рамках социального пакета для работников, </w:t>
      </w:r>
      <w:r w:rsidR="001E238A">
        <w:rPr>
          <w:sz w:val="28"/>
          <w:szCs w:val="28"/>
        </w:rPr>
        <w:t>и</w:t>
      </w:r>
      <w:r w:rsidR="00FE439B">
        <w:rPr>
          <w:sz w:val="28"/>
          <w:szCs w:val="28"/>
        </w:rPr>
        <w:t xml:space="preserve"> добровольное страхование жизни </w:t>
      </w:r>
      <w:r w:rsidR="001E238A">
        <w:rPr>
          <w:sz w:val="28"/>
          <w:szCs w:val="28"/>
        </w:rPr>
        <w:t>(</w:t>
      </w:r>
      <w:r w:rsidR="00FE439B">
        <w:rPr>
          <w:sz w:val="28"/>
          <w:szCs w:val="28"/>
        </w:rPr>
        <w:t>есть у 67,9%</w:t>
      </w:r>
      <w:r w:rsidR="001E238A">
        <w:rPr>
          <w:sz w:val="28"/>
          <w:szCs w:val="28"/>
        </w:rPr>
        <w:t>)</w:t>
      </w:r>
      <w:r w:rsidR="00FE439B">
        <w:rPr>
          <w:sz w:val="28"/>
          <w:szCs w:val="28"/>
        </w:rPr>
        <w:t xml:space="preserve">  опрошенных.</w:t>
      </w:r>
      <w:r w:rsidR="001E238A">
        <w:rPr>
          <w:sz w:val="28"/>
          <w:szCs w:val="28"/>
        </w:rPr>
        <w:t xml:space="preserve"> </w:t>
      </w:r>
    </w:p>
    <w:p w:rsidR="00F053B4" w:rsidRDefault="001E238A" w:rsidP="001E238A">
      <w:pPr>
        <w:tabs>
          <w:tab w:val="left" w:pos="4485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Также распространены и д</w:t>
      </w:r>
      <w:r w:rsidR="00F053B4">
        <w:rPr>
          <w:sz w:val="28"/>
          <w:szCs w:val="28"/>
        </w:rPr>
        <w:t xml:space="preserve">ругие виды обязательного страхования </w:t>
      </w:r>
      <w:r w:rsidR="006A602A">
        <w:rPr>
          <w:sz w:val="28"/>
          <w:szCs w:val="28"/>
        </w:rPr>
        <w:t>(такие как обязательное личное страхование пассажиров (туристов) и страхование автогражданской ответственности (ОСАГО) имеется у 53% респондентов.</w:t>
      </w:r>
      <w:proofErr w:type="gramEnd"/>
    </w:p>
    <w:p w:rsidR="00266743" w:rsidRDefault="000A1FF5" w:rsidP="00BF1EF9">
      <w:pPr>
        <w:rPr>
          <w:sz w:val="28"/>
          <w:szCs w:val="28"/>
        </w:rPr>
      </w:pPr>
      <w:r w:rsidRPr="000A1FF5">
        <w:rPr>
          <w:noProof/>
          <w:sz w:val="28"/>
          <w:szCs w:val="28"/>
        </w:rPr>
        <w:drawing>
          <wp:inline distT="0" distB="0" distL="0" distR="0">
            <wp:extent cx="5943600" cy="3638550"/>
            <wp:effectExtent l="0" t="0" r="0" b="0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A1FF5" w:rsidRDefault="000A1FF5" w:rsidP="00B66C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Исходя из проведенного мониторинга использования страховых продуктов (услуг), все респонденты</w:t>
      </w:r>
      <w:r w:rsidR="00B66CBD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принявшие участие в опросе</w:t>
      </w:r>
      <w:r w:rsidR="00B66CBD">
        <w:rPr>
          <w:sz w:val="28"/>
          <w:szCs w:val="28"/>
        </w:rPr>
        <w:t>,</w:t>
      </w:r>
      <w:r>
        <w:rPr>
          <w:sz w:val="28"/>
          <w:szCs w:val="28"/>
        </w:rPr>
        <w:t xml:space="preserve"> пользуются </w:t>
      </w:r>
      <w:r w:rsidR="00A80A8E">
        <w:rPr>
          <w:sz w:val="28"/>
          <w:szCs w:val="28"/>
        </w:rPr>
        <w:t>одним из видов</w:t>
      </w:r>
      <w:r>
        <w:rPr>
          <w:sz w:val="28"/>
          <w:szCs w:val="28"/>
        </w:rPr>
        <w:t xml:space="preserve"> страхования</w:t>
      </w:r>
      <w:r w:rsidR="00E13A39">
        <w:rPr>
          <w:sz w:val="28"/>
          <w:szCs w:val="28"/>
        </w:rPr>
        <w:t>.</w:t>
      </w:r>
    </w:p>
    <w:p w:rsidR="00B3494D" w:rsidRDefault="00B3494D" w:rsidP="00E13A39">
      <w:pPr>
        <w:ind w:firstLine="708"/>
        <w:rPr>
          <w:sz w:val="28"/>
          <w:szCs w:val="28"/>
        </w:rPr>
      </w:pPr>
    </w:p>
    <w:p w:rsidR="00AC2AB6" w:rsidRDefault="00AC2AB6" w:rsidP="00372BB1">
      <w:pPr>
        <w:pStyle w:val="a7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удовлетворенности деятельност</w:t>
      </w:r>
      <w:r w:rsidRPr="00AC2AB6">
        <w:rPr>
          <w:b/>
          <w:sz w:val="28"/>
          <w:szCs w:val="28"/>
        </w:rPr>
        <w:t xml:space="preserve">ью </w:t>
      </w:r>
    </w:p>
    <w:p w:rsidR="00E13A39" w:rsidRDefault="00AC2AB6" w:rsidP="00AC2AB6">
      <w:pPr>
        <w:pStyle w:val="a7"/>
        <w:ind w:left="1069"/>
        <w:jc w:val="center"/>
        <w:rPr>
          <w:b/>
          <w:sz w:val="28"/>
          <w:szCs w:val="28"/>
        </w:rPr>
      </w:pPr>
      <w:r w:rsidRPr="00AC2AB6">
        <w:rPr>
          <w:b/>
          <w:sz w:val="28"/>
          <w:szCs w:val="28"/>
        </w:rPr>
        <w:t>в сфере финансовых услуг</w:t>
      </w:r>
    </w:p>
    <w:p w:rsidR="00372BB1" w:rsidRDefault="00372BB1" w:rsidP="00AC2AB6">
      <w:pPr>
        <w:pStyle w:val="a7"/>
        <w:ind w:left="1069"/>
        <w:jc w:val="center"/>
        <w:rPr>
          <w:b/>
          <w:sz w:val="28"/>
          <w:szCs w:val="28"/>
        </w:rPr>
      </w:pPr>
    </w:p>
    <w:p w:rsidR="00372BB1" w:rsidRDefault="00372BB1" w:rsidP="00372BB1">
      <w:pPr>
        <w:pStyle w:val="a7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Удовлетворенность потребителей деятельностью финансовых организаций, является одним из показателей, характеризующих сферу финансовых услуг. Эта сфера оказывает существенное влияние на развитие конкуренции, поскольку с одной стороны способствует созданию дополнительных возможностей для развития бизнеса, а другой -  формированию конечного потребительского спроса.</w:t>
      </w:r>
    </w:p>
    <w:p w:rsidR="00372BB1" w:rsidRDefault="00372BB1" w:rsidP="00372BB1">
      <w:pPr>
        <w:pStyle w:val="a7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Уровень удовлетворенности </w:t>
      </w:r>
      <w:r w:rsidR="00A1233E">
        <w:rPr>
          <w:bCs/>
          <w:sz w:val="28"/>
          <w:szCs w:val="28"/>
        </w:rPr>
        <w:t xml:space="preserve">респондентов </w:t>
      </w:r>
      <w:r>
        <w:rPr>
          <w:bCs/>
          <w:sz w:val="28"/>
          <w:szCs w:val="28"/>
        </w:rPr>
        <w:t xml:space="preserve"> Петровского городского округа деятельностью </w:t>
      </w:r>
      <w:r w:rsidR="006B0709">
        <w:rPr>
          <w:bCs/>
          <w:sz w:val="28"/>
          <w:szCs w:val="28"/>
        </w:rPr>
        <w:t xml:space="preserve">финансовых организаций составил 31,9 </w:t>
      </w:r>
      <w:r>
        <w:rPr>
          <w:bCs/>
          <w:sz w:val="28"/>
          <w:szCs w:val="28"/>
        </w:rPr>
        <w:t>% (доля респондентов, положительно оценивших удовлетворенность хотя бы одного из указанных типов финансовых организаций</w:t>
      </w:r>
      <w:r w:rsidR="006B0709">
        <w:rPr>
          <w:bCs/>
          <w:sz w:val="28"/>
          <w:szCs w:val="28"/>
        </w:rPr>
        <w:t>).</w:t>
      </w:r>
    </w:p>
    <w:p w:rsidR="00DE308E" w:rsidRPr="00DE308E" w:rsidRDefault="00DE308E" w:rsidP="00372BB1">
      <w:pPr>
        <w:pStyle w:val="a7"/>
        <w:ind w:left="0" w:firstLine="709"/>
        <w:jc w:val="both"/>
        <w:rPr>
          <w:sz w:val="28"/>
          <w:szCs w:val="28"/>
        </w:rPr>
      </w:pPr>
      <w:r w:rsidRPr="00DE308E">
        <w:rPr>
          <w:bCs/>
          <w:sz w:val="28"/>
          <w:szCs w:val="28"/>
        </w:rPr>
        <w:t xml:space="preserve">Анализ удовлетворенности </w:t>
      </w:r>
      <w:r w:rsidR="00A1233E">
        <w:rPr>
          <w:bCs/>
          <w:sz w:val="28"/>
          <w:szCs w:val="28"/>
        </w:rPr>
        <w:t>респондентов</w:t>
      </w:r>
      <w:r w:rsidRPr="00DE308E">
        <w:rPr>
          <w:bCs/>
          <w:sz w:val="28"/>
          <w:szCs w:val="28"/>
        </w:rPr>
        <w:t xml:space="preserve"> работой/сервисом финансовых организаций</w:t>
      </w:r>
      <w:r w:rsidRPr="00DE308E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приведен в таблице</w:t>
      </w:r>
      <w:r w:rsidR="006A602A">
        <w:rPr>
          <w:bCs/>
          <w:sz w:val="28"/>
          <w:szCs w:val="28"/>
        </w:rPr>
        <w:t xml:space="preserve"> 5</w:t>
      </w:r>
      <w:r>
        <w:rPr>
          <w:bCs/>
          <w:sz w:val="28"/>
          <w:szCs w:val="28"/>
        </w:rPr>
        <w:t>.</w:t>
      </w:r>
    </w:p>
    <w:p w:rsidR="00AC2AB6" w:rsidRPr="00DE308E" w:rsidRDefault="00DE308E" w:rsidP="00DE308E">
      <w:pPr>
        <w:pStyle w:val="a7"/>
        <w:ind w:left="1069"/>
        <w:jc w:val="right"/>
      </w:pPr>
      <w:r w:rsidRPr="00DE308E">
        <w:t>Таблица 5</w:t>
      </w:r>
    </w:p>
    <w:tbl>
      <w:tblPr>
        <w:tblW w:w="9653" w:type="dxa"/>
        <w:tblInd w:w="94" w:type="dxa"/>
        <w:tblLayout w:type="fixed"/>
        <w:tblLook w:val="04A0"/>
      </w:tblPr>
      <w:tblGrid>
        <w:gridCol w:w="2616"/>
        <w:gridCol w:w="2360"/>
        <w:gridCol w:w="2126"/>
        <w:gridCol w:w="2551"/>
      </w:tblGrid>
      <w:tr w:rsidR="000A6579" w:rsidRPr="000A6579" w:rsidTr="005B0ADD">
        <w:trPr>
          <w:trHeight w:val="684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579" w:rsidRPr="000A6579" w:rsidRDefault="000A6579" w:rsidP="000A6579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A6579" w:rsidRPr="000A6579" w:rsidRDefault="000A6579" w:rsidP="00DE308E">
            <w:pPr>
              <w:jc w:val="center"/>
            </w:pPr>
            <w:r w:rsidRPr="000A6579">
              <w:t>Не удовлетворе</w:t>
            </w:r>
            <w:proofErr w:type="gramStart"/>
            <w:r w:rsidRPr="000A6579">
              <w:t>н(</w:t>
            </w:r>
            <w:proofErr w:type="gramEnd"/>
            <w:r w:rsidRPr="000A6579">
              <w:t>-а)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0A6579" w:rsidRPr="000A6579" w:rsidRDefault="000A6579" w:rsidP="00DE308E">
            <w:pPr>
              <w:jc w:val="center"/>
            </w:pPr>
            <w:r w:rsidRPr="000A6579">
              <w:t>Удовлетворе</w:t>
            </w:r>
            <w:proofErr w:type="gramStart"/>
            <w:r w:rsidRPr="000A6579">
              <w:t>н(</w:t>
            </w:r>
            <w:proofErr w:type="gramEnd"/>
            <w:r w:rsidRPr="000A6579">
              <w:t>-а)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0A6579" w:rsidRPr="000A6579" w:rsidRDefault="000A6579" w:rsidP="00DE308E">
            <w:pPr>
              <w:jc w:val="center"/>
            </w:pPr>
            <w:r w:rsidRPr="000A6579">
              <w:t>Не сталкивалс</w:t>
            </w:r>
            <w:proofErr w:type="gramStart"/>
            <w:r w:rsidRPr="000A6579">
              <w:t>я(</w:t>
            </w:r>
            <w:proofErr w:type="gramEnd"/>
            <w:r w:rsidRPr="000A6579">
              <w:t>-</w:t>
            </w:r>
            <w:proofErr w:type="spellStart"/>
            <w:r w:rsidRPr="000A6579">
              <w:t>лась</w:t>
            </w:r>
            <w:proofErr w:type="spellEnd"/>
            <w:r w:rsidRPr="000A6579">
              <w:t>)</w:t>
            </w:r>
          </w:p>
        </w:tc>
      </w:tr>
      <w:tr w:rsidR="000A6579" w:rsidRPr="000A6579" w:rsidTr="005B0ADD">
        <w:trPr>
          <w:trHeight w:val="1105"/>
        </w:trPr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579" w:rsidRPr="000A6579" w:rsidRDefault="000A6579" w:rsidP="000A6579">
            <w:r w:rsidRPr="000A6579">
              <w:t>Банки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A6579" w:rsidRPr="00164815" w:rsidRDefault="000A6579" w:rsidP="00DE308E">
            <w:pPr>
              <w:jc w:val="center"/>
              <w:rPr>
                <w:b/>
                <w:bCs/>
                <w:color w:val="000000"/>
              </w:rPr>
            </w:pPr>
            <w:r w:rsidRPr="00164815">
              <w:rPr>
                <w:b/>
                <w:bCs/>
                <w:color w:val="000000"/>
              </w:rPr>
              <w:t>10,1%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0A6579" w:rsidRPr="00164815" w:rsidRDefault="000A6579" w:rsidP="00DE308E">
            <w:pPr>
              <w:jc w:val="center"/>
              <w:rPr>
                <w:b/>
                <w:bCs/>
                <w:color w:val="000000"/>
              </w:rPr>
            </w:pPr>
            <w:r w:rsidRPr="00164815">
              <w:rPr>
                <w:b/>
                <w:bCs/>
                <w:color w:val="000000"/>
              </w:rPr>
              <w:t>89,9%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0A6579" w:rsidRPr="00164815" w:rsidRDefault="000A6579" w:rsidP="00DE308E">
            <w:pPr>
              <w:jc w:val="center"/>
              <w:rPr>
                <w:b/>
                <w:bCs/>
                <w:color w:val="000000"/>
              </w:rPr>
            </w:pPr>
            <w:r w:rsidRPr="00164815">
              <w:rPr>
                <w:b/>
                <w:bCs/>
                <w:color w:val="000000"/>
              </w:rPr>
              <w:t>0%</w:t>
            </w:r>
          </w:p>
        </w:tc>
      </w:tr>
      <w:tr w:rsidR="000A6579" w:rsidRPr="000A6579" w:rsidTr="005B0ADD">
        <w:trPr>
          <w:trHeight w:val="979"/>
        </w:trPr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579" w:rsidRPr="000A6579" w:rsidRDefault="000A6579" w:rsidP="000A6579">
            <w:proofErr w:type="spellStart"/>
            <w:r w:rsidRPr="000A6579">
              <w:t>Микрофинансовые</w:t>
            </w:r>
            <w:proofErr w:type="spellEnd"/>
            <w:r w:rsidRPr="000A6579">
              <w:t xml:space="preserve"> организации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A6579" w:rsidRPr="00164815" w:rsidRDefault="000A6579" w:rsidP="00DE308E">
            <w:pPr>
              <w:jc w:val="center"/>
              <w:rPr>
                <w:b/>
                <w:bCs/>
                <w:color w:val="000000"/>
              </w:rPr>
            </w:pPr>
            <w:r w:rsidRPr="00164815">
              <w:rPr>
                <w:b/>
                <w:bCs/>
                <w:color w:val="000000"/>
              </w:rPr>
              <w:t>1,1%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0A6579" w:rsidRPr="00164815" w:rsidRDefault="000A6579" w:rsidP="00DE308E">
            <w:pPr>
              <w:jc w:val="center"/>
              <w:rPr>
                <w:b/>
                <w:bCs/>
                <w:color w:val="000000"/>
              </w:rPr>
            </w:pPr>
            <w:r w:rsidRPr="00164815">
              <w:rPr>
                <w:b/>
                <w:bCs/>
                <w:color w:val="000000"/>
              </w:rPr>
              <w:t>6,6%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0A6579" w:rsidRPr="00164815" w:rsidRDefault="000A6579" w:rsidP="00A1233E">
            <w:pPr>
              <w:jc w:val="center"/>
              <w:rPr>
                <w:b/>
                <w:bCs/>
                <w:color w:val="000000"/>
              </w:rPr>
            </w:pPr>
            <w:r w:rsidRPr="00164815">
              <w:rPr>
                <w:b/>
                <w:bCs/>
                <w:color w:val="000000"/>
              </w:rPr>
              <w:t>9</w:t>
            </w:r>
            <w:r w:rsidR="00A1233E">
              <w:rPr>
                <w:b/>
                <w:bCs/>
                <w:color w:val="000000"/>
              </w:rPr>
              <w:t>2</w:t>
            </w:r>
            <w:r w:rsidRPr="00164815">
              <w:rPr>
                <w:b/>
                <w:bCs/>
                <w:color w:val="000000"/>
              </w:rPr>
              <w:t>,</w:t>
            </w:r>
            <w:r w:rsidR="00A1233E">
              <w:rPr>
                <w:b/>
                <w:bCs/>
                <w:color w:val="000000"/>
              </w:rPr>
              <w:t>3</w:t>
            </w:r>
            <w:r w:rsidRPr="00164815">
              <w:rPr>
                <w:b/>
                <w:bCs/>
                <w:color w:val="000000"/>
              </w:rPr>
              <w:t>%</w:t>
            </w:r>
          </w:p>
        </w:tc>
      </w:tr>
      <w:tr w:rsidR="000A6579" w:rsidRPr="000A6579" w:rsidTr="005B0ADD">
        <w:trPr>
          <w:trHeight w:val="1141"/>
        </w:trPr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579" w:rsidRPr="000A6579" w:rsidRDefault="000A6579" w:rsidP="000A6579">
            <w:r w:rsidRPr="000A6579">
              <w:t>Кредитные потребительские кооперативы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A6579" w:rsidRPr="00164815" w:rsidRDefault="000A6579" w:rsidP="00DE308E">
            <w:pPr>
              <w:jc w:val="center"/>
              <w:rPr>
                <w:b/>
                <w:bCs/>
                <w:color w:val="000000"/>
              </w:rPr>
            </w:pPr>
            <w:r w:rsidRPr="00164815">
              <w:rPr>
                <w:b/>
                <w:bCs/>
                <w:color w:val="000000"/>
              </w:rPr>
              <w:t>0,8%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0A6579" w:rsidRPr="00164815" w:rsidRDefault="000A6579" w:rsidP="00DE308E">
            <w:pPr>
              <w:jc w:val="center"/>
              <w:rPr>
                <w:b/>
                <w:bCs/>
                <w:color w:val="000000"/>
              </w:rPr>
            </w:pPr>
            <w:r w:rsidRPr="00164815">
              <w:rPr>
                <w:b/>
                <w:bCs/>
                <w:color w:val="000000"/>
              </w:rPr>
              <w:t>5,5%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0A6579" w:rsidRPr="00164815" w:rsidRDefault="000A6579" w:rsidP="00DE308E">
            <w:pPr>
              <w:jc w:val="center"/>
              <w:rPr>
                <w:b/>
                <w:bCs/>
                <w:color w:val="000000"/>
              </w:rPr>
            </w:pPr>
            <w:r w:rsidRPr="00164815">
              <w:rPr>
                <w:b/>
                <w:bCs/>
                <w:color w:val="000000"/>
              </w:rPr>
              <w:t>93,7%</w:t>
            </w:r>
          </w:p>
        </w:tc>
      </w:tr>
      <w:tr w:rsidR="000A6579" w:rsidRPr="000A6579" w:rsidTr="005B0ADD">
        <w:trPr>
          <w:trHeight w:val="736"/>
        </w:trPr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579" w:rsidRPr="000A6579" w:rsidRDefault="000A6579" w:rsidP="000A6579">
            <w:r w:rsidRPr="000A6579">
              <w:t>Ломбарды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A6579" w:rsidRPr="00164815" w:rsidRDefault="000A6579" w:rsidP="00DE308E">
            <w:pPr>
              <w:jc w:val="center"/>
              <w:rPr>
                <w:b/>
                <w:bCs/>
                <w:color w:val="000000"/>
              </w:rPr>
            </w:pPr>
            <w:r w:rsidRPr="00164815">
              <w:rPr>
                <w:b/>
                <w:bCs/>
                <w:color w:val="000000"/>
              </w:rPr>
              <w:t>0,6%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0A6579" w:rsidRPr="00164815" w:rsidRDefault="000A6579" w:rsidP="00DE308E">
            <w:pPr>
              <w:jc w:val="center"/>
              <w:rPr>
                <w:b/>
                <w:bCs/>
                <w:color w:val="000000"/>
              </w:rPr>
            </w:pPr>
            <w:r w:rsidRPr="00164815">
              <w:rPr>
                <w:b/>
                <w:bCs/>
                <w:color w:val="000000"/>
              </w:rPr>
              <w:t>0,8%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0A6579" w:rsidRPr="00164815" w:rsidRDefault="000A6579" w:rsidP="00DE308E">
            <w:pPr>
              <w:jc w:val="center"/>
              <w:rPr>
                <w:b/>
                <w:bCs/>
                <w:color w:val="000000"/>
              </w:rPr>
            </w:pPr>
            <w:r w:rsidRPr="00164815">
              <w:rPr>
                <w:b/>
                <w:bCs/>
                <w:color w:val="000000"/>
              </w:rPr>
              <w:t>98,6%</w:t>
            </w:r>
          </w:p>
        </w:tc>
      </w:tr>
      <w:tr w:rsidR="000A6579" w:rsidRPr="000A6579" w:rsidTr="005B0ADD">
        <w:trPr>
          <w:trHeight w:val="1380"/>
        </w:trPr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579" w:rsidRPr="000A6579" w:rsidRDefault="000A6579" w:rsidP="000A6579">
            <w:r w:rsidRPr="000A6579">
              <w:t>Субъекты страхового дела (страховые организации, общества взаимного страхования и страховые брокеры)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A6579" w:rsidRPr="00164815" w:rsidRDefault="00DE308E" w:rsidP="00DE308E">
            <w:pPr>
              <w:jc w:val="center"/>
              <w:rPr>
                <w:b/>
                <w:bCs/>
                <w:color w:val="000000"/>
              </w:rPr>
            </w:pPr>
            <w:r w:rsidRPr="00164815">
              <w:rPr>
                <w:b/>
                <w:bCs/>
                <w:color w:val="000000"/>
              </w:rPr>
              <w:t>13,7%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0A6579" w:rsidRPr="00164815" w:rsidRDefault="00DE308E" w:rsidP="00DE308E">
            <w:pPr>
              <w:jc w:val="center"/>
              <w:rPr>
                <w:b/>
                <w:bCs/>
                <w:color w:val="000000"/>
              </w:rPr>
            </w:pPr>
            <w:r w:rsidRPr="00164815">
              <w:rPr>
                <w:b/>
                <w:bCs/>
                <w:color w:val="000000"/>
              </w:rPr>
              <w:t>39,7%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0A6579" w:rsidRPr="00164815" w:rsidRDefault="00DE308E" w:rsidP="00DE308E">
            <w:pPr>
              <w:jc w:val="center"/>
              <w:rPr>
                <w:b/>
                <w:bCs/>
                <w:color w:val="000000"/>
              </w:rPr>
            </w:pPr>
            <w:r w:rsidRPr="00164815">
              <w:rPr>
                <w:b/>
                <w:bCs/>
                <w:color w:val="000000"/>
              </w:rPr>
              <w:t>46,6%</w:t>
            </w:r>
          </w:p>
        </w:tc>
      </w:tr>
      <w:tr w:rsidR="000A6579" w:rsidRPr="000A6579" w:rsidTr="005B0ADD">
        <w:trPr>
          <w:trHeight w:val="1380"/>
        </w:trPr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579" w:rsidRPr="000A6579" w:rsidRDefault="000A6579" w:rsidP="000A6579">
            <w:r w:rsidRPr="000A6579">
              <w:t>Сельскохозяйственные кредитные потребительские кооперативы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A6579" w:rsidRPr="00164815" w:rsidRDefault="00DE308E" w:rsidP="00DE308E">
            <w:pPr>
              <w:jc w:val="center"/>
              <w:rPr>
                <w:b/>
                <w:bCs/>
                <w:color w:val="000000"/>
              </w:rPr>
            </w:pPr>
            <w:r w:rsidRPr="00164815">
              <w:rPr>
                <w:b/>
                <w:bCs/>
                <w:color w:val="000000"/>
              </w:rPr>
              <w:t>1,7%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0A6579" w:rsidRPr="00164815" w:rsidRDefault="00DE308E" w:rsidP="00DE308E">
            <w:pPr>
              <w:jc w:val="center"/>
              <w:rPr>
                <w:b/>
                <w:bCs/>
                <w:color w:val="000000"/>
              </w:rPr>
            </w:pPr>
            <w:r w:rsidRPr="00164815">
              <w:rPr>
                <w:b/>
                <w:bCs/>
                <w:color w:val="000000"/>
              </w:rPr>
              <w:t>4,9%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0A6579" w:rsidRPr="00164815" w:rsidRDefault="00DE308E" w:rsidP="00DE308E">
            <w:pPr>
              <w:jc w:val="center"/>
              <w:rPr>
                <w:b/>
                <w:bCs/>
                <w:color w:val="000000"/>
              </w:rPr>
            </w:pPr>
            <w:r w:rsidRPr="00164815">
              <w:rPr>
                <w:b/>
                <w:bCs/>
                <w:color w:val="000000"/>
              </w:rPr>
              <w:t>93,4%</w:t>
            </w:r>
          </w:p>
        </w:tc>
      </w:tr>
      <w:tr w:rsidR="000A6579" w:rsidRPr="000A6579" w:rsidTr="005B0ADD">
        <w:trPr>
          <w:trHeight w:val="937"/>
        </w:trPr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579" w:rsidRPr="000A6579" w:rsidRDefault="000A6579" w:rsidP="000A6579">
            <w:r w:rsidRPr="000A6579">
              <w:t>Негосударственные пенсионные фонды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A6579" w:rsidRPr="00164815" w:rsidRDefault="00DE308E" w:rsidP="00DE308E">
            <w:pPr>
              <w:jc w:val="center"/>
              <w:rPr>
                <w:b/>
                <w:bCs/>
                <w:color w:val="000000"/>
              </w:rPr>
            </w:pPr>
            <w:r w:rsidRPr="00164815">
              <w:rPr>
                <w:b/>
                <w:bCs/>
                <w:color w:val="000000"/>
              </w:rPr>
              <w:t>17,8%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0A6579" w:rsidRPr="00164815" w:rsidRDefault="00DE308E" w:rsidP="00DE308E">
            <w:pPr>
              <w:jc w:val="center"/>
              <w:rPr>
                <w:b/>
                <w:bCs/>
                <w:color w:val="000000"/>
              </w:rPr>
            </w:pPr>
            <w:r w:rsidRPr="00164815">
              <w:rPr>
                <w:b/>
                <w:bCs/>
                <w:color w:val="000000"/>
              </w:rPr>
              <w:t>76,4%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0A6579" w:rsidRPr="00164815" w:rsidRDefault="00DE308E" w:rsidP="00DE308E">
            <w:pPr>
              <w:jc w:val="center"/>
              <w:rPr>
                <w:b/>
                <w:bCs/>
                <w:color w:val="000000"/>
              </w:rPr>
            </w:pPr>
            <w:r w:rsidRPr="00164815">
              <w:rPr>
                <w:b/>
                <w:bCs/>
                <w:color w:val="000000"/>
              </w:rPr>
              <w:t>5,8%</w:t>
            </w:r>
          </w:p>
        </w:tc>
      </w:tr>
      <w:tr w:rsidR="000A6579" w:rsidRPr="000A6579" w:rsidTr="005B0ADD">
        <w:trPr>
          <w:trHeight w:val="839"/>
        </w:trPr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6579" w:rsidRPr="000A6579" w:rsidRDefault="000A6579" w:rsidP="000A6579">
            <w:r w:rsidRPr="000A6579">
              <w:t>Брокеры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A6579" w:rsidRPr="00164815" w:rsidRDefault="00DE308E" w:rsidP="00DE308E">
            <w:pPr>
              <w:jc w:val="center"/>
              <w:rPr>
                <w:b/>
                <w:bCs/>
                <w:color w:val="000000"/>
              </w:rPr>
            </w:pPr>
            <w:r w:rsidRPr="00164815">
              <w:rPr>
                <w:b/>
                <w:bCs/>
                <w:color w:val="000000"/>
              </w:rPr>
              <w:t>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0A6579" w:rsidRPr="00164815" w:rsidRDefault="00DE308E" w:rsidP="00DE308E">
            <w:pPr>
              <w:jc w:val="center"/>
              <w:rPr>
                <w:b/>
                <w:bCs/>
                <w:color w:val="000000"/>
              </w:rPr>
            </w:pPr>
            <w:r w:rsidRPr="00164815">
              <w:rPr>
                <w:b/>
                <w:bCs/>
                <w:color w:val="000000"/>
              </w:rPr>
              <w:t>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0A6579" w:rsidRPr="00164815" w:rsidRDefault="00DE308E" w:rsidP="00DE308E">
            <w:pPr>
              <w:jc w:val="center"/>
              <w:rPr>
                <w:b/>
                <w:bCs/>
                <w:color w:val="000000"/>
              </w:rPr>
            </w:pPr>
            <w:r w:rsidRPr="00164815">
              <w:rPr>
                <w:b/>
                <w:bCs/>
                <w:color w:val="000000"/>
              </w:rPr>
              <w:t>100%</w:t>
            </w:r>
          </w:p>
        </w:tc>
      </w:tr>
    </w:tbl>
    <w:p w:rsidR="005405C7" w:rsidRPr="00DE308E" w:rsidRDefault="005405C7" w:rsidP="00DE308E">
      <w:pPr>
        <w:rPr>
          <w:sz w:val="28"/>
          <w:szCs w:val="28"/>
        </w:rPr>
      </w:pPr>
    </w:p>
    <w:p w:rsidR="005405C7" w:rsidRDefault="00A1233E" w:rsidP="00E46FD3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 проведенного анализа следует, что </w:t>
      </w:r>
      <w:r w:rsidR="00591733">
        <w:rPr>
          <w:sz w:val="28"/>
          <w:szCs w:val="28"/>
        </w:rPr>
        <w:t>больше всего</w:t>
      </w:r>
      <w:r w:rsidR="008C6E4E">
        <w:rPr>
          <w:sz w:val="28"/>
          <w:szCs w:val="28"/>
        </w:rPr>
        <w:t xml:space="preserve"> респондентов </w:t>
      </w:r>
      <w:proofErr w:type="gramStart"/>
      <w:r w:rsidR="00B66CBD">
        <w:rPr>
          <w:sz w:val="28"/>
          <w:szCs w:val="28"/>
        </w:rPr>
        <w:t>удовлетворены</w:t>
      </w:r>
      <w:proofErr w:type="gramEnd"/>
      <w:r w:rsidR="008C6E4E">
        <w:rPr>
          <w:sz w:val="28"/>
          <w:szCs w:val="28"/>
        </w:rPr>
        <w:t xml:space="preserve"> работой (сервисом) </w:t>
      </w:r>
      <w:r w:rsidR="00B66CBD">
        <w:rPr>
          <w:sz w:val="28"/>
          <w:szCs w:val="28"/>
        </w:rPr>
        <w:t>банков</w:t>
      </w:r>
      <w:r w:rsidR="00591733">
        <w:rPr>
          <w:sz w:val="28"/>
          <w:szCs w:val="28"/>
        </w:rPr>
        <w:t xml:space="preserve"> (89,9%)</w:t>
      </w:r>
      <w:r w:rsidR="009F7604">
        <w:rPr>
          <w:sz w:val="28"/>
          <w:szCs w:val="28"/>
        </w:rPr>
        <w:t>.</w:t>
      </w:r>
    </w:p>
    <w:p w:rsidR="00A1233E" w:rsidRDefault="00A1233E" w:rsidP="00E46FD3">
      <w:pPr>
        <w:pStyle w:val="a7"/>
        <w:ind w:left="0" w:firstLine="708"/>
        <w:jc w:val="both"/>
        <w:rPr>
          <w:sz w:val="28"/>
          <w:szCs w:val="28"/>
        </w:rPr>
      </w:pPr>
    </w:p>
    <w:p w:rsidR="001C4F30" w:rsidRDefault="001C4F30" w:rsidP="001C4F30">
      <w:pPr>
        <w:pStyle w:val="a7"/>
        <w:ind w:left="0"/>
        <w:rPr>
          <w:sz w:val="28"/>
          <w:szCs w:val="28"/>
        </w:rPr>
      </w:pPr>
      <w:r w:rsidRPr="001C4F30">
        <w:rPr>
          <w:noProof/>
          <w:sz w:val="28"/>
          <w:szCs w:val="28"/>
        </w:rPr>
        <w:drawing>
          <wp:inline distT="0" distB="0" distL="0" distR="0">
            <wp:extent cx="5943600" cy="5438775"/>
            <wp:effectExtent l="0" t="0" r="0" b="0"/>
            <wp:docPr id="1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C4F30" w:rsidRDefault="001C4F30" w:rsidP="001C4F30">
      <w:pPr>
        <w:pStyle w:val="a7"/>
        <w:ind w:left="0"/>
        <w:rPr>
          <w:sz w:val="28"/>
          <w:szCs w:val="28"/>
        </w:rPr>
      </w:pPr>
    </w:p>
    <w:p w:rsidR="001C4F30" w:rsidRDefault="0049454E" w:rsidP="00F509B2">
      <w:pPr>
        <w:pStyle w:val="a7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Анализируя степень у</w:t>
      </w:r>
      <w:r w:rsidR="001C4F30">
        <w:rPr>
          <w:sz w:val="28"/>
          <w:szCs w:val="28"/>
        </w:rPr>
        <w:t xml:space="preserve">довлетворенности населения Петровского городского округа </w:t>
      </w:r>
      <w:r w:rsidR="00147CF0">
        <w:rPr>
          <w:sz w:val="28"/>
          <w:szCs w:val="28"/>
        </w:rPr>
        <w:t xml:space="preserve">продуктами (услугами) финансовых организаций при их оформлении, </w:t>
      </w:r>
      <w:r w:rsidR="001B3A9A">
        <w:rPr>
          <w:sz w:val="28"/>
          <w:szCs w:val="28"/>
        </w:rPr>
        <w:t xml:space="preserve">большая часть респондентов указала </w:t>
      </w:r>
      <w:r w:rsidR="00F64EA8">
        <w:rPr>
          <w:sz w:val="28"/>
          <w:szCs w:val="28"/>
        </w:rPr>
        <w:t xml:space="preserve">на удовлетворенность  </w:t>
      </w:r>
      <w:r w:rsidR="00FE5BC6">
        <w:rPr>
          <w:sz w:val="28"/>
          <w:szCs w:val="28"/>
        </w:rPr>
        <w:t xml:space="preserve">услуг </w:t>
      </w:r>
      <w:r w:rsidR="00F64EA8">
        <w:rPr>
          <w:sz w:val="28"/>
          <w:szCs w:val="28"/>
        </w:rPr>
        <w:t xml:space="preserve">пенсионного страхования (69,3%), негосударственного </w:t>
      </w:r>
      <w:r w:rsidR="00FE5BC6">
        <w:rPr>
          <w:sz w:val="28"/>
          <w:szCs w:val="28"/>
        </w:rPr>
        <w:t xml:space="preserve">пенсионного </w:t>
      </w:r>
      <w:r w:rsidR="00F64EA8">
        <w:rPr>
          <w:sz w:val="28"/>
          <w:szCs w:val="28"/>
        </w:rPr>
        <w:t>страхования (66,3%), переводы/платежи (</w:t>
      </w:r>
      <w:r w:rsidR="00147CF0">
        <w:rPr>
          <w:sz w:val="28"/>
          <w:szCs w:val="28"/>
        </w:rPr>
        <w:t>100%</w:t>
      </w:r>
      <w:r w:rsidR="00F64EA8">
        <w:rPr>
          <w:sz w:val="28"/>
          <w:szCs w:val="28"/>
        </w:rPr>
        <w:t>), банковские вклады (49,9%)</w:t>
      </w:r>
      <w:r w:rsidR="00FE5BC6">
        <w:rPr>
          <w:sz w:val="28"/>
          <w:szCs w:val="28"/>
        </w:rPr>
        <w:t>, расчетные (дебетовые карты) 100%</w:t>
      </w:r>
      <w:r w:rsidR="00F64EA8">
        <w:rPr>
          <w:sz w:val="28"/>
          <w:szCs w:val="28"/>
        </w:rPr>
        <w:t>.</w:t>
      </w:r>
      <w:r w:rsidR="00147CF0">
        <w:rPr>
          <w:sz w:val="28"/>
          <w:szCs w:val="28"/>
        </w:rPr>
        <w:t xml:space="preserve"> </w:t>
      </w:r>
      <w:r w:rsidR="00A93143">
        <w:rPr>
          <w:sz w:val="28"/>
          <w:szCs w:val="28"/>
        </w:rPr>
        <w:t xml:space="preserve">Менее популярными среди опрошенных оказались продукты (услуги), </w:t>
      </w:r>
      <w:r w:rsidR="00147CF0">
        <w:rPr>
          <w:sz w:val="28"/>
          <w:szCs w:val="28"/>
        </w:rPr>
        <w:t xml:space="preserve">предоставляемые </w:t>
      </w:r>
      <w:proofErr w:type="spellStart"/>
      <w:r w:rsidR="00147CF0">
        <w:rPr>
          <w:sz w:val="28"/>
          <w:szCs w:val="28"/>
        </w:rPr>
        <w:t>микрофинансовыми</w:t>
      </w:r>
      <w:proofErr w:type="spellEnd"/>
      <w:r w:rsidR="00147CF0">
        <w:rPr>
          <w:sz w:val="28"/>
          <w:szCs w:val="28"/>
        </w:rPr>
        <w:t xml:space="preserve"> организациями</w:t>
      </w:r>
      <w:r w:rsidR="002C130B">
        <w:rPr>
          <w:sz w:val="28"/>
          <w:szCs w:val="28"/>
        </w:rPr>
        <w:t>,  сельскохозяйственными и потребительскими кооперативами</w:t>
      </w:r>
      <w:r w:rsidR="00FE5BC6">
        <w:rPr>
          <w:sz w:val="28"/>
          <w:szCs w:val="28"/>
        </w:rPr>
        <w:t>, займами в ломбардах</w:t>
      </w:r>
      <w:r w:rsidR="002C130B">
        <w:rPr>
          <w:sz w:val="28"/>
          <w:szCs w:val="28"/>
        </w:rPr>
        <w:t>.</w:t>
      </w:r>
      <w:proofErr w:type="gramEnd"/>
    </w:p>
    <w:p w:rsidR="002C130B" w:rsidRDefault="002C130B" w:rsidP="00147CF0">
      <w:pPr>
        <w:pStyle w:val="a7"/>
        <w:ind w:left="0" w:firstLine="708"/>
        <w:rPr>
          <w:sz w:val="28"/>
          <w:szCs w:val="28"/>
        </w:rPr>
      </w:pPr>
    </w:p>
    <w:p w:rsidR="002C130B" w:rsidRDefault="00A93C12" w:rsidP="00B66CBD">
      <w:pPr>
        <w:pStyle w:val="a7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доступности для населения финансовых услуг</w:t>
      </w:r>
      <w:r w:rsidR="00B66CBD">
        <w:rPr>
          <w:b/>
          <w:sz w:val="28"/>
          <w:szCs w:val="28"/>
        </w:rPr>
        <w:t>.</w:t>
      </w:r>
    </w:p>
    <w:p w:rsidR="00F948C1" w:rsidRPr="00F948C1" w:rsidRDefault="00F948C1" w:rsidP="00F948C1">
      <w:pPr>
        <w:rPr>
          <w:b/>
          <w:sz w:val="28"/>
          <w:szCs w:val="28"/>
        </w:rPr>
      </w:pPr>
    </w:p>
    <w:p w:rsidR="00A93C12" w:rsidRPr="00F948C1" w:rsidRDefault="00F948C1" w:rsidP="00F948C1">
      <w:pPr>
        <w:pStyle w:val="a7"/>
        <w:ind w:left="0" w:firstLine="709"/>
        <w:jc w:val="both"/>
        <w:rPr>
          <w:sz w:val="28"/>
          <w:szCs w:val="28"/>
        </w:rPr>
      </w:pPr>
      <w:r w:rsidRPr="00F948C1">
        <w:rPr>
          <w:sz w:val="28"/>
          <w:szCs w:val="28"/>
        </w:rPr>
        <w:t>Анализ объективных пока</w:t>
      </w:r>
      <w:r>
        <w:rPr>
          <w:sz w:val="28"/>
          <w:szCs w:val="28"/>
        </w:rPr>
        <w:t>зателей позволяет сделать вывод</w:t>
      </w:r>
      <w:r w:rsidRPr="00F948C1">
        <w:rPr>
          <w:sz w:val="28"/>
          <w:szCs w:val="28"/>
        </w:rPr>
        <w:t>,</w:t>
      </w:r>
      <w:r w:rsidR="00A93143">
        <w:rPr>
          <w:sz w:val="28"/>
          <w:szCs w:val="28"/>
        </w:rPr>
        <w:t xml:space="preserve"> </w:t>
      </w:r>
      <w:r w:rsidRPr="00F948C1">
        <w:rPr>
          <w:sz w:val="28"/>
          <w:szCs w:val="28"/>
        </w:rPr>
        <w:t>что</w:t>
      </w:r>
      <w:r w:rsidR="00A93143">
        <w:rPr>
          <w:sz w:val="28"/>
          <w:szCs w:val="28"/>
        </w:rPr>
        <w:t xml:space="preserve"> </w:t>
      </w:r>
      <w:r w:rsidRPr="00F948C1">
        <w:rPr>
          <w:sz w:val="28"/>
          <w:szCs w:val="28"/>
        </w:rPr>
        <w:t xml:space="preserve">у большей части </w:t>
      </w:r>
      <w:r>
        <w:rPr>
          <w:sz w:val="28"/>
          <w:szCs w:val="28"/>
        </w:rPr>
        <w:t>респондентов</w:t>
      </w:r>
      <w:r w:rsidRPr="00F948C1">
        <w:rPr>
          <w:sz w:val="28"/>
          <w:szCs w:val="28"/>
        </w:rPr>
        <w:t xml:space="preserve">, </w:t>
      </w:r>
      <w:r>
        <w:rPr>
          <w:sz w:val="28"/>
          <w:szCs w:val="28"/>
        </w:rPr>
        <w:t>принявших участие в опросе</w:t>
      </w:r>
      <w:r w:rsidRPr="00F948C1">
        <w:rPr>
          <w:sz w:val="28"/>
          <w:szCs w:val="28"/>
        </w:rPr>
        <w:t>, есть возможность получить доступ к финансовым услугам</w:t>
      </w:r>
      <w:r w:rsidR="007D6F05">
        <w:rPr>
          <w:sz w:val="28"/>
          <w:szCs w:val="28"/>
        </w:rPr>
        <w:t>.</w:t>
      </w:r>
    </w:p>
    <w:p w:rsidR="00F55F0C" w:rsidRDefault="00F55F0C" w:rsidP="00A93143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доступности для населе</w:t>
      </w:r>
      <w:r w:rsidR="00B66CBD">
        <w:rPr>
          <w:sz w:val="28"/>
          <w:szCs w:val="28"/>
        </w:rPr>
        <w:t>ния финансовых услуг приведены в</w:t>
      </w:r>
      <w:r w:rsidR="006A602A">
        <w:rPr>
          <w:sz w:val="28"/>
          <w:szCs w:val="28"/>
        </w:rPr>
        <w:t xml:space="preserve"> таблице 6</w:t>
      </w:r>
      <w:r>
        <w:rPr>
          <w:sz w:val="28"/>
          <w:szCs w:val="28"/>
        </w:rPr>
        <w:t>.</w:t>
      </w:r>
    </w:p>
    <w:p w:rsidR="00A93143" w:rsidRDefault="00A93143" w:rsidP="00A93143">
      <w:pPr>
        <w:pStyle w:val="a7"/>
        <w:ind w:left="0" w:firstLine="709"/>
        <w:jc w:val="both"/>
        <w:rPr>
          <w:sz w:val="28"/>
          <w:szCs w:val="28"/>
        </w:rPr>
      </w:pPr>
    </w:p>
    <w:p w:rsidR="00A93143" w:rsidRDefault="00A93143" w:rsidP="00A93143">
      <w:pPr>
        <w:pStyle w:val="a7"/>
        <w:ind w:left="0" w:firstLine="709"/>
        <w:jc w:val="both"/>
        <w:rPr>
          <w:sz w:val="28"/>
          <w:szCs w:val="28"/>
        </w:rPr>
      </w:pPr>
    </w:p>
    <w:p w:rsidR="00F55F0C" w:rsidRPr="00F55F0C" w:rsidRDefault="00DE308E" w:rsidP="00F55F0C">
      <w:pPr>
        <w:pStyle w:val="a7"/>
        <w:ind w:left="0" w:firstLine="709"/>
        <w:jc w:val="right"/>
      </w:pPr>
      <w:r>
        <w:lastRenderedPageBreak/>
        <w:t>Таблица 6</w:t>
      </w:r>
    </w:p>
    <w:tbl>
      <w:tblPr>
        <w:tblW w:w="9652" w:type="dxa"/>
        <w:tblInd w:w="95" w:type="dxa"/>
        <w:tblLayout w:type="fixed"/>
        <w:tblLook w:val="04A0"/>
      </w:tblPr>
      <w:tblGrid>
        <w:gridCol w:w="4561"/>
        <w:gridCol w:w="1739"/>
        <w:gridCol w:w="1935"/>
        <w:gridCol w:w="1417"/>
      </w:tblGrid>
      <w:tr w:rsidR="00F55F0C" w:rsidRPr="00F55F0C" w:rsidTr="00B66CBD">
        <w:trPr>
          <w:trHeight w:val="1215"/>
        </w:trPr>
        <w:tc>
          <w:tcPr>
            <w:tcW w:w="4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F0C" w:rsidRPr="00F55F0C" w:rsidRDefault="00F55F0C" w:rsidP="00F55F0C">
            <w:pPr>
              <w:rPr>
                <w:color w:val="000000"/>
              </w:rPr>
            </w:pP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F55F0C" w:rsidRPr="00F55F0C" w:rsidRDefault="00F55F0C" w:rsidP="00F55F0C">
            <w:pPr>
              <w:jc w:val="center"/>
              <w:rPr>
                <w:sz w:val="22"/>
                <w:szCs w:val="22"/>
              </w:rPr>
            </w:pPr>
            <w:r w:rsidRPr="00F55F0C">
              <w:rPr>
                <w:sz w:val="22"/>
                <w:szCs w:val="22"/>
              </w:rPr>
              <w:t>Не удовлетворен(а)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55F0C" w:rsidRPr="00F55F0C" w:rsidRDefault="00F55F0C" w:rsidP="00F55F0C">
            <w:pPr>
              <w:jc w:val="center"/>
              <w:rPr>
                <w:sz w:val="22"/>
                <w:szCs w:val="22"/>
              </w:rPr>
            </w:pPr>
            <w:r w:rsidRPr="00F55F0C">
              <w:rPr>
                <w:sz w:val="22"/>
                <w:szCs w:val="22"/>
              </w:rPr>
              <w:t>Удовлетворен(-а)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5F0C" w:rsidRPr="00F55F0C" w:rsidRDefault="00F55F0C" w:rsidP="00F55F0C">
            <w:pPr>
              <w:rPr>
                <w:sz w:val="22"/>
                <w:szCs w:val="22"/>
              </w:rPr>
            </w:pPr>
            <w:r w:rsidRPr="00F55F0C">
              <w:rPr>
                <w:sz w:val="22"/>
                <w:szCs w:val="22"/>
              </w:rPr>
              <w:t>Не сталкивался(-</w:t>
            </w:r>
            <w:proofErr w:type="spellStart"/>
            <w:r w:rsidRPr="00F55F0C">
              <w:rPr>
                <w:sz w:val="22"/>
                <w:szCs w:val="22"/>
              </w:rPr>
              <w:t>лась</w:t>
            </w:r>
            <w:proofErr w:type="spellEnd"/>
            <w:r w:rsidRPr="00F55F0C">
              <w:rPr>
                <w:sz w:val="22"/>
                <w:szCs w:val="22"/>
              </w:rPr>
              <w:t>)</w:t>
            </w:r>
          </w:p>
        </w:tc>
      </w:tr>
      <w:tr w:rsidR="00F55F0C" w:rsidRPr="00F55F0C" w:rsidTr="00B66CBD">
        <w:trPr>
          <w:trHeight w:val="451"/>
        </w:trPr>
        <w:tc>
          <w:tcPr>
            <w:tcW w:w="4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F0C" w:rsidRPr="00F55F0C" w:rsidRDefault="00F55F0C" w:rsidP="00F55F0C">
            <w:pPr>
              <w:jc w:val="both"/>
              <w:rPr>
                <w:sz w:val="22"/>
                <w:szCs w:val="22"/>
              </w:rPr>
            </w:pPr>
            <w:r w:rsidRPr="00F55F0C">
              <w:rPr>
                <w:sz w:val="22"/>
                <w:szCs w:val="22"/>
              </w:rPr>
              <w:t>Количеством и удобством расположения банковских отделений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F55F0C" w:rsidRPr="00164815" w:rsidRDefault="00F55F0C" w:rsidP="00F55F0C">
            <w:pPr>
              <w:jc w:val="center"/>
              <w:rPr>
                <w:b/>
                <w:bCs/>
                <w:color w:val="000000"/>
              </w:rPr>
            </w:pPr>
            <w:r w:rsidRPr="00164815">
              <w:rPr>
                <w:b/>
                <w:bCs/>
                <w:color w:val="000000"/>
              </w:rPr>
              <w:t>8,8%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55F0C" w:rsidRPr="00164815" w:rsidRDefault="00F55F0C" w:rsidP="00F55F0C">
            <w:pPr>
              <w:jc w:val="center"/>
              <w:rPr>
                <w:b/>
                <w:bCs/>
                <w:color w:val="000000"/>
              </w:rPr>
            </w:pPr>
            <w:r w:rsidRPr="00164815">
              <w:rPr>
                <w:b/>
                <w:bCs/>
                <w:color w:val="000000"/>
              </w:rPr>
              <w:t>91,2%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5F0C" w:rsidRPr="00164815" w:rsidRDefault="00F55F0C" w:rsidP="00F55F0C">
            <w:pPr>
              <w:jc w:val="center"/>
              <w:rPr>
                <w:b/>
                <w:bCs/>
                <w:color w:val="000000"/>
              </w:rPr>
            </w:pPr>
            <w:r w:rsidRPr="00164815">
              <w:rPr>
                <w:b/>
                <w:bCs/>
                <w:color w:val="000000"/>
              </w:rPr>
              <w:t>0%</w:t>
            </w:r>
          </w:p>
        </w:tc>
      </w:tr>
      <w:tr w:rsidR="00F55F0C" w:rsidRPr="00F55F0C" w:rsidTr="00B66CBD">
        <w:trPr>
          <w:trHeight w:val="501"/>
        </w:trPr>
        <w:tc>
          <w:tcPr>
            <w:tcW w:w="4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F0C" w:rsidRPr="00F55F0C" w:rsidRDefault="00F55F0C" w:rsidP="00F55F0C">
            <w:pPr>
              <w:jc w:val="both"/>
              <w:rPr>
                <w:sz w:val="22"/>
                <w:szCs w:val="22"/>
              </w:rPr>
            </w:pPr>
            <w:r w:rsidRPr="00F55F0C">
              <w:rPr>
                <w:sz w:val="22"/>
                <w:szCs w:val="22"/>
              </w:rPr>
              <w:t>Качеством дистанционного банковского обслуживания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F55F0C" w:rsidRPr="00164815" w:rsidRDefault="00F55F0C" w:rsidP="00F55F0C">
            <w:pPr>
              <w:jc w:val="center"/>
              <w:rPr>
                <w:b/>
                <w:bCs/>
                <w:color w:val="000000"/>
              </w:rPr>
            </w:pPr>
            <w:r w:rsidRPr="00164815">
              <w:rPr>
                <w:b/>
                <w:bCs/>
                <w:color w:val="000000"/>
              </w:rPr>
              <w:t>0%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55F0C" w:rsidRPr="00164815" w:rsidRDefault="00F55F0C" w:rsidP="00F55F0C">
            <w:pPr>
              <w:jc w:val="center"/>
              <w:rPr>
                <w:b/>
                <w:bCs/>
                <w:color w:val="000000"/>
              </w:rPr>
            </w:pPr>
            <w:r w:rsidRPr="00164815">
              <w:rPr>
                <w:b/>
                <w:bCs/>
                <w:color w:val="000000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5F0C" w:rsidRPr="00164815" w:rsidRDefault="00F55F0C" w:rsidP="00F55F0C">
            <w:pPr>
              <w:jc w:val="center"/>
              <w:rPr>
                <w:b/>
                <w:bCs/>
                <w:color w:val="000000"/>
              </w:rPr>
            </w:pPr>
            <w:r w:rsidRPr="00164815">
              <w:rPr>
                <w:b/>
                <w:bCs/>
                <w:color w:val="000000"/>
              </w:rPr>
              <w:t>0%</w:t>
            </w:r>
          </w:p>
        </w:tc>
      </w:tr>
      <w:tr w:rsidR="00F55F0C" w:rsidRPr="00F55F0C" w:rsidTr="00B66CBD">
        <w:trPr>
          <w:trHeight w:val="585"/>
        </w:trPr>
        <w:tc>
          <w:tcPr>
            <w:tcW w:w="4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F0C" w:rsidRPr="00F55F0C" w:rsidRDefault="00F55F0C" w:rsidP="00F55F0C">
            <w:pPr>
              <w:jc w:val="both"/>
              <w:rPr>
                <w:sz w:val="22"/>
                <w:szCs w:val="22"/>
              </w:rPr>
            </w:pPr>
            <w:r w:rsidRPr="00F55F0C">
              <w:rPr>
                <w:sz w:val="22"/>
                <w:szCs w:val="22"/>
              </w:rPr>
              <w:t>Имеющимся у Вас выбором различных банков для получения необходимых Вам банковских услуг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F55F0C" w:rsidRPr="00164815" w:rsidRDefault="00F55F0C" w:rsidP="00F55F0C">
            <w:pPr>
              <w:jc w:val="center"/>
              <w:rPr>
                <w:b/>
                <w:bCs/>
                <w:color w:val="000000"/>
              </w:rPr>
            </w:pPr>
            <w:r w:rsidRPr="00164815">
              <w:rPr>
                <w:b/>
                <w:bCs/>
                <w:color w:val="000000"/>
              </w:rPr>
              <w:t>11,8%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55F0C" w:rsidRPr="00164815" w:rsidRDefault="00F55F0C" w:rsidP="00F55F0C">
            <w:pPr>
              <w:jc w:val="center"/>
              <w:rPr>
                <w:b/>
                <w:bCs/>
                <w:color w:val="000000"/>
              </w:rPr>
            </w:pPr>
            <w:r w:rsidRPr="00164815">
              <w:rPr>
                <w:b/>
                <w:bCs/>
                <w:color w:val="000000"/>
              </w:rPr>
              <w:t>88,2%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5F0C" w:rsidRPr="00164815" w:rsidRDefault="00F55F0C" w:rsidP="00F55F0C">
            <w:pPr>
              <w:jc w:val="center"/>
              <w:rPr>
                <w:b/>
                <w:bCs/>
                <w:color w:val="000000"/>
              </w:rPr>
            </w:pPr>
            <w:r w:rsidRPr="00164815">
              <w:rPr>
                <w:b/>
                <w:bCs/>
                <w:color w:val="000000"/>
              </w:rPr>
              <w:t>0%</w:t>
            </w:r>
          </w:p>
        </w:tc>
      </w:tr>
      <w:tr w:rsidR="00F55F0C" w:rsidRPr="00F55F0C" w:rsidTr="00B66CBD">
        <w:trPr>
          <w:trHeight w:val="1313"/>
        </w:trPr>
        <w:tc>
          <w:tcPr>
            <w:tcW w:w="4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F0C" w:rsidRPr="00F55F0C" w:rsidRDefault="00F55F0C" w:rsidP="00F55F0C">
            <w:pPr>
              <w:jc w:val="both"/>
              <w:rPr>
                <w:sz w:val="22"/>
                <w:szCs w:val="22"/>
              </w:rPr>
            </w:pPr>
            <w:r w:rsidRPr="00F55F0C">
              <w:rPr>
                <w:sz w:val="22"/>
                <w:szCs w:val="22"/>
              </w:rPr>
              <w:t>Количеством и удобством расположения микрофинансовых организаций, ломбардов, кредитных потребительских кооперативов и сельскохозяйственных кредитных потребительских кооперативов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F55F0C" w:rsidRPr="00164815" w:rsidRDefault="00B66CBD" w:rsidP="00F55F0C">
            <w:pPr>
              <w:jc w:val="center"/>
              <w:rPr>
                <w:b/>
                <w:bCs/>
                <w:color w:val="000000"/>
              </w:rPr>
            </w:pPr>
            <w:r w:rsidRPr="00164815">
              <w:rPr>
                <w:b/>
                <w:bCs/>
                <w:color w:val="000000"/>
              </w:rPr>
              <w:t>4,1</w:t>
            </w:r>
            <w:r w:rsidR="00F55F0C" w:rsidRPr="00164815">
              <w:rPr>
                <w:b/>
                <w:bCs/>
                <w:color w:val="000000"/>
              </w:rPr>
              <w:t>%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55F0C" w:rsidRPr="00164815" w:rsidRDefault="00B66CBD" w:rsidP="00F55F0C">
            <w:pPr>
              <w:jc w:val="center"/>
              <w:rPr>
                <w:b/>
                <w:bCs/>
                <w:color w:val="000000"/>
              </w:rPr>
            </w:pPr>
            <w:r w:rsidRPr="00164815">
              <w:rPr>
                <w:b/>
                <w:bCs/>
                <w:color w:val="000000"/>
              </w:rPr>
              <w:t>17,8</w:t>
            </w:r>
            <w:r w:rsidR="00F55F0C" w:rsidRPr="00164815">
              <w:rPr>
                <w:b/>
                <w:bCs/>
                <w:color w:val="00000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5F0C" w:rsidRPr="00164815" w:rsidRDefault="00B66CBD" w:rsidP="00F55F0C">
            <w:pPr>
              <w:jc w:val="center"/>
              <w:rPr>
                <w:b/>
                <w:bCs/>
                <w:color w:val="000000"/>
              </w:rPr>
            </w:pPr>
            <w:r w:rsidRPr="00164815">
              <w:rPr>
                <w:b/>
                <w:bCs/>
                <w:color w:val="000000"/>
              </w:rPr>
              <w:t>78,1</w:t>
            </w:r>
            <w:r w:rsidR="00F55F0C" w:rsidRPr="00164815">
              <w:rPr>
                <w:b/>
                <w:bCs/>
                <w:color w:val="000000"/>
              </w:rPr>
              <w:t>%</w:t>
            </w:r>
          </w:p>
        </w:tc>
      </w:tr>
      <w:tr w:rsidR="00F55F0C" w:rsidRPr="00F55F0C" w:rsidTr="00B66CBD">
        <w:trPr>
          <w:trHeight w:val="1544"/>
        </w:trPr>
        <w:tc>
          <w:tcPr>
            <w:tcW w:w="4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F0C" w:rsidRPr="00F55F0C" w:rsidRDefault="00F55F0C" w:rsidP="00F55F0C">
            <w:pPr>
              <w:jc w:val="both"/>
              <w:rPr>
                <w:sz w:val="22"/>
                <w:szCs w:val="22"/>
              </w:rPr>
            </w:pPr>
            <w:r w:rsidRPr="00F55F0C">
              <w:rPr>
                <w:sz w:val="22"/>
                <w:szCs w:val="22"/>
              </w:rPr>
              <w:t>Имеющимся у Вас выбором различных микрофинансовых организаций, ломбардов, кредитных потребительских кооперативов и сельскохозяйственных кредитных потребительских кооперативов для получения необходимых Вам услуг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F55F0C" w:rsidRPr="00164815" w:rsidRDefault="00B66CBD" w:rsidP="00F55F0C">
            <w:pPr>
              <w:jc w:val="center"/>
              <w:rPr>
                <w:b/>
                <w:bCs/>
                <w:color w:val="000000"/>
              </w:rPr>
            </w:pPr>
            <w:r w:rsidRPr="00164815">
              <w:rPr>
                <w:b/>
                <w:bCs/>
                <w:color w:val="000000"/>
              </w:rPr>
              <w:t>4,1</w:t>
            </w:r>
            <w:r w:rsidR="00F55F0C" w:rsidRPr="00164815">
              <w:rPr>
                <w:b/>
                <w:bCs/>
                <w:color w:val="000000"/>
              </w:rPr>
              <w:t>%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55F0C" w:rsidRPr="00164815" w:rsidRDefault="00B66CBD" w:rsidP="00F55F0C">
            <w:pPr>
              <w:jc w:val="center"/>
              <w:rPr>
                <w:b/>
                <w:bCs/>
                <w:color w:val="000000"/>
              </w:rPr>
            </w:pPr>
            <w:r w:rsidRPr="00164815">
              <w:rPr>
                <w:b/>
                <w:bCs/>
                <w:color w:val="000000"/>
              </w:rPr>
              <w:t>17,8</w:t>
            </w:r>
            <w:r w:rsidR="00F55F0C" w:rsidRPr="00164815">
              <w:rPr>
                <w:b/>
                <w:bCs/>
                <w:color w:val="00000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5F0C" w:rsidRPr="00164815" w:rsidRDefault="00B66CBD" w:rsidP="00F55F0C">
            <w:pPr>
              <w:jc w:val="center"/>
              <w:rPr>
                <w:b/>
                <w:bCs/>
                <w:color w:val="000000"/>
              </w:rPr>
            </w:pPr>
            <w:r w:rsidRPr="00164815">
              <w:rPr>
                <w:b/>
                <w:bCs/>
                <w:color w:val="000000"/>
              </w:rPr>
              <w:t>78,1</w:t>
            </w:r>
            <w:r w:rsidR="00F55F0C" w:rsidRPr="00164815">
              <w:rPr>
                <w:b/>
                <w:bCs/>
                <w:color w:val="000000"/>
              </w:rPr>
              <w:t>%</w:t>
            </w:r>
          </w:p>
        </w:tc>
      </w:tr>
      <w:tr w:rsidR="00F55F0C" w:rsidRPr="00F55F0C" w:rsidTr="00B66CBD">
        <w:trPr>
          <w:trHeight w:val="532"/>
        </w:trPr>
        <w:tc>
          <w:tcPr>
            <w:tcW w:w="4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F0C" w:rsidRPr="00F55F0C" w:rsidRDefault="00F55F0C" w:rsidP="00F55F0C">
            <w:pPr>
              <w:jc w:val="both"/>
              <w:rPr>
                <w:sz w:val="22"/>
                <w:szCs w:val="22"/>
              </w:rPr>
            </w:pPr>
            <w:r w:rsidRPr="00F55F0C">
              <w:rPr>
                <w:sz w:val="22"/>
                <w:szCs w:val="22"/>
              </w:rPr>
              <w:t>Количеством и удобством расположения субъектов страхового дела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F55F0C" w:rsidRPr="00164815" w:rsidRDefault="00F55F0C" w:rsidP="00F55F0C">
            <w:pPr>
              <w:jc w:val="center"/>
              <w:rPr>
                <w:b/>
                <w:bCs/>
                <w:color w:val="000000"/>
              </w:rPr>
            </w:pPr>
            <w:r w:rsidRPr="00164815">
              <w:rPr>
                <w:b/>
                <w:bCs/>
                <w:color w:val="000000"/>
              </w:rPr>
              <w:t>8,2%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55F0C" w:rsidRPr="00164815" w:rsidRDefault="00F55F0C" w:rsidP="00F55F0C">
            <w:pPr>
              <w:jc w:val="center"/>
              <w:rPr>
                <w:b/>
                <w:bCs/>
                <w:color w:val="000000"/>
              </w:rPr>
            </w:pPr>
            <w:r w:rsidRPr="00164815">
              <w:rPr>
                <w:b/>
                <w:bCs/>
                <w:color w:val="000000"/>
              </w:rPr>
              <w:t>45,2%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5F0C" w:rsidRPr="00164815" w:rsidRDefault="00F55F0C" w:rsidP="00F55F0C">
            <w:pPr>
              <w:jc w:val="center"/>
              <w:rPr>
                <w:b/>
                <w:bCs/>
                <w:color w:val="000000"/>
              </w:rPr>
            </w:pPr>
            <w:r w:rsidRPr="00164815">
              <w:rPr>
                <w:b/>
                <w:bCs/>
                <w:color w:val="000000"/>
              </w:rPr>
              <w:t>46,6%</w:t>
            </w:r>
          </w:p>
        </w:tc>
      </w:tr>
      <w:tr w:rsidR="00F55F0C" w:rsidRPr="00F55F0C" w:rsidTr="00B66CBD">
        <w:trPr>
          <w:trHeight w:val="696"/>
        </w:trPr>
        <w:tc>
          <w:tcPr>
            <w:tcW w:w="4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F0C" w:rsidRPr="00F55F0C" w:rsidRDefault="00F55F0C" w:rsidP="00F55F0C">
            <w:pPr>
              <w:jc w:val="both"/>
              <w:rPr>
                <w:sz w:val="22"/>
                <w:szCs w:val="22"/>
              </w:rPr>
            </w:pPr>
            <w:r w:rsidRPr="00F55F0C">
              <w:rPr>
                <w:sz w:val="22"/>
                <w:szCs w:val="22"/>
              </w:rPr>
              <w:t>Имеющимся у Вас выбором различных субъектов страхового дела для получения необходимых Вам страховых услуг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F55F0C" w:rsidRPr="00164815" w:rsidRDefault="00367541" w:rsidP="00F55F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16,5</w:t>
            </w:r>
            <w:r w:rsidR="00F55F0C" w:rsidRPr="00164815">
              <w:rPr>
                <w:b/>
                <w:bCs/>
                <w:color w:val="000000"/>
              </w:rPr>
              <w:t>%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55F0C" w:rsidRPr="00164815" w:rsidRDefault="00F55F0C" w:rsidP="00F55F0C">
            <w:pPr>
              <w:jc w:val="center"/>
              <w:rPr>
                <w:b/>
                <w:bCs/>
                <w:color w:val="000000"/>
              </w:rPr>
            </w:pPr>
            <w:r w:rsidRPr="00164815">
              <w:rPr>
                <w:b/>
                <w:bCs/>
                <w:color w:val="000000"/>
              </w:rPr>
              <w:t>36,9%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5F0C" w:rsidRPr="00164815" w:rsidRDefault="00F55F0C" w:rsidP="00F55F0C">
            <w:pPr>
              <w:jc w:val="center"/>
              <w:rPr>
                <w:b/>
                <w:bCs/>
                <w:color w:val="000000"/>
              </w:rPr>
            </w:pPr>
            <w:r w:rsidRPr="00164815">
              <w:rPr>
                <w:b/>
                <w:bCs/>
                <w:color w:val="000000"/>
              </w:rPr>
              <w:t>46,6%</w:t>
            </w:r>
          </w:p>
        </w:tc>
      </w:tr>
      <w:tr w:rsidR="00F55F0C" w:rsidRPr="00F55F0C" w:rsidTr="00B66CBD">
        <w:trPr>
          <w:trHeight w:val="541"/>
        </w:trPr>
        <w:tc>
          <w:tcPr>
            <w:tcW w:w="4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F0C" w:rsidRPr="00F55F0C" w:rsidRDefault="00F55F0C" w:rsidP="00F55F0C">
            <w:pPr>
              <w:jc w:val="both"/>
              <w:rPr>
                <w:sz w:val="22"/>
                <w:szCs w:val="22"/>
              </w:rPr>
            </w:pPr>
            <w:r w:rsidRPr="00F55F0C">
              <w:rPr>
                <w:sz w:val="22"/>
                <w:szCs w:val="22"/>
              </w:rPr>
              <w:t>Количеством и удобством расположения негосударственных пенсионных фондов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F55F0C" w:rsidRPr="00164815" w:rsidRDefault="00B66CBD" w:rsidP="00F55F0C">
            <w:pPr>
              <w:jc w:val="center"/>
              <w:rPr>
                <w:b/>
                <w:bCs/>
                <w:color w:val="000000"/>
              </w:rPr>
            </w:pPr>
            <w:r w:rsidRPr="00164815">
              <w:rPr>
                <w:b/>
                <w:bCs/>
                <w:color w:val="000000"/>
              </w:rPr>
              <w:t>25,5</w:t>
            </w:r>
            <w:r w:rsidR="00F55F0C" w:rsidRPr="00164815">
              <w:rPr>
                <w:b/>
                <w:bCs/>
                <w:color w:val="000000"/>
              </w:rPr>
              <w:t>%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55F0C" w:rsidRPr="00164815" w:rsidRDefault="00B66CBD" w:rsidP="00F55F0C">
            <w:pPr>
              <w:jc w:val="center"/>
              <w:rPr>
                <w:b/>
                <w:bCs/>
                <w:color w:val="000000"/>
              </w:rPr>
            </w:pPr>
            <w:r w:rsidRPr="00164815">
              <w:rPr>
                <w:b/>
                <w:bCs/>
                <w:color w:val="000000"/>
              </w:rPr>
              <w:t>74,5</w:t>
            </w:r>
            <w:r w:rsidR="00F55F0C" w:rsidRPr="00164815">
              <w:rPr>
                <w:b/>
                <w:bCs/>
                <w:color w:val="00000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5F0C" w:rsidRPr="00164815" w:rsidRDefault="00B66CBD" w:rsidP="00F55F0C">
            <w:pPr>
              <w:jc w:val="center"/>
              <w:rPr>
                <w:b/>
                <w:bCs/>
                <w:color w:val="000000"/>
              </w:rPr>
            </w:pPr>
            <w:r w:rsidRPr="00164815">
              <w:rPr>
                <w:b/>
                <w:bCs/>
                <w:color w:val="000000"/>
              </w:rPr>
              <w:t>0</w:t>
            </w:r>
            <w:r w:rsidR="00F55F0C" w:rsidRPr="00164815">
              <w:rPr>
                <w:b/>
                <w:bCs/>
                <w:color w:val="000000"/>
              </w:rPr>
              <w:t>%</w:t>
            </w:r>
          </w:p>
        </w:tc>
      </w:tr>
      <w:tr w:rsidR="00F55F0C" w:rsidRPr="00F55F0C" w:rsidTr="00B66CBD">
        <w:trPr>
          <w:trHeight w:val="690"/>
        </w:trPr>
        <w:tc>
          <w:tcPr>
            <w:tcW w:w="4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F0C" w:rsidRPr="00F55F0C" w:rsidRDefault="00F55F0C" w:rsidP="00F55F0C">
            <w:pPr>
              <w:jc w:val="both"/>
              <w:rPr>
                <w:sz w:val="22"/>
                <w:szCs w:val="22"/>
              </w:rPr>
            </w:pPr>
            <w:r w:rsidRPr="00F55F0C">
              <w:rPr>
                <w:sz w:val="22"/>
                <w:szCs w:val="22"/>
              </w:rPr>
              <w:t>Имеющимся у Вас выбором различных негосударственных пенсионных фондов для получения необходимых Вам услуг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F55F0C" w:rsidRPr="00164815" w:rsidRDefault="00B66CBD" w:rsidP="00F55F0C">
            <w:pPr>
              <w:jc w:val="center"/>
              <w:rPr>
                <w:b/>
                <w:bCs/>
                <w:color w:val="000000"/>
              </w:rPr>
            </w:pPr>
            <w:r w:rsidRPr="00164815">
              <w:rPr>
                <w:b/>
                <w:bCs/>
                <w:color w:val="000000"/>
              </w:rPr>
              <w:t>35,3</w:t>
            </w:r>
            <w:r w:rsidR="00F55F0C" w:rsidRPr="00164815">
              <w:rPr>
                <w:b/>
                <w:bCs/>
                <w:color w:val="000000"/>
              </w:rPr>
              <w:t>%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55F0C" w:rsidRPr="00164815" w:rsidRDefault="00B66CBD" w:rsidP="00F55F0C">
            <w:pPr>
              <w:jc w:val="center"/>
              <w:rPr>
                <w:b/>
                <w:bCs/>
                <w:color w:val="000000"/>
              </w:rPr>
            </w:pPr>
            <w:r w:rsidRPr="00164815">
              <w:rPr>
                <w:b/>
                <w:bCs/>
                <w:color w:val="000000"/>
              </w:rPr>
              <w:t>64,7</w:t>
            </w:r>
            <w:r w:rsidR="00F55F0C" w:rsidRPr="00164815">
              <w:rPr>
                <w:b/>
                <w:bCs/>
                <w:color w:val="00000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5F0C" w:rsidRPr="00164815" w:rsidRDefault="00F55F0C" w:rsidP="00F55F0C">
            <w:pPr>
              <w:jc w:val="center"/>
              <w:rPr>
                <w:b/>
                <w:bCs/>
                <w:color w:val="000000"/>
              </w:rPr>
            </w:pPr>
            <w:r w:rsidRPr="00164815">
              <w:rPr>
                <w:b/>
                <w:bCs/>
                <w:color w:val="000000"/>
              </w:rPr>
              <w:t>0%</w:t>
            </w:r>
          </w:p>
        </w:tc>
      </w:tr>
      <w:tr w:rsidR="00F55F0C" w:rsidRPr="00F55F0C" w:rsidTr="00B66CBD">
        <w:trPr>
          <w:trHeight w:val="345"/>
        </w:trPr>
        <w:tc>
          <w:tcPr>
            <w:tcW w:w="4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F0C" w:rsidRPr="00F55F0C" w:rsidRDefault="00F55F0C" w:rsidP="00F55F0C">
            <w:pPr>
              <w:jc w:val="both"/>
              <w:rPr>
                <w:sz w:val="22"/>
                <w:szCs w:val="22"/>
              </w:rPr>
            </w:pPr>
            <w:r w:rsidRPr="00F55F0C">
              <w:rPr>
                <w:sz w:val="22"/>
                <w:szCs w:val="22"/>
              </w:rPr>
              <w:t>Количеством и удобством расположения брокеров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F55F0C" w:rsidRPr="00164815" w:rsidRDefault="00F509B2" w:rsidP="00F55F0C">
            <w:pPr>
              <w:jc w:val="center"/>
              <w:rPr>
                <w:b/>
                <w:bCs/>
                <w:color w:val="000000"/>
              </w:rPr>
            </w:pPr>
            <w:r w:rsidRPr="00164815">
              <w:rPr>
                <w:b/>
                <w:bCs/>
                <w:color w:val="000000"/>
              </w:rPr>
              <w:t>0</w:t>
            </w:r>
            <w:r w:rsidR="00F55F0C" w:rsidRPr="00164815">
              <w:rPr>
                <w:b/>
                <w:bCs/>
                <w:color w:val="000000"/>
              </w:rPr>
              <w:t>%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55F0C" w:rsidRPr="00164815" w:rsidRDefault="00F509B2" w:rsidP="00F55F0C">
            <w:pPr>
              <w:jc w:val="center"/>
              <w:rPr>
                <w:b/>
                <w:bCs/>
                <w:color w:val="000000"/>
              </w:rPr>
            </w:pPr>
            <w:r w:rsidRPr="00164815">
              <w:rPr>
                <w:b/>
                <w:bCs/>
                <w:color w:val="000000"/>
              </w:rPr>
              <w:t>0</w:t>
            </w:r>
            <w:r w:rsidR="00B66CBD" w:rsidRPr="00164815">
              <w:rPr>
                <w:b/>
                <w:bCs/>
                <w:color w:val="00000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5F0C" w:rsidRPr="00164815" w:rsidRDefault="00F509B2" w:rsidP="00F55F0C">
            <w:pPr>
              <w:jc w:val="center"/>
              <w:rPr>
                <w:b/>
                <w:bCs/>
                <w:color w:val="000000"/>
              </w:rPr>
            </w:pPr>
            <w:r w:rsidRPr="00164815">
              <w:rPr>
                <w:b/>
                <w:bCs/>
                <w:color w:val="000000"/>
              </w:rPr>
              <w:t>100</w:t>
            </w:r>
            <w:r w:rsidR="00F55F0C" w:rsidRPr="00164815">
              <w:rPr>
                <w:b/>
                <w:bCs/>
                <w:color w:val="000000"/>
              </w:rPr>
              <w:t>%</w:t>
            </w:r>
          </w:p>
        </w:tc>
      </w:tr>
      <w:tr w:rsidR="00F55F0C" w:rsidRPr="00F55F0C" w:rsidTr="00B66CBD">
        <w:trPr>
          <w:trHeight w:val="690"/>
        </w:trPr>
        <w:tc>
          <w:tcPr>
            <w:tcW w:w="4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F0C" w:rsidRPr="00F55F0C" w:rsidRDefault="00F55F0C" w:rsidP="00F55F0C">
            <w:pPr>
              <w:jc w:val="both"/>
              <w:rPr>
                <w:sz w:val="22"/>
                <w:szCs w:val="22"/>
              </w:rPr>
            </w:pPr>
            <w:r w:rsidRPr="00F55F0C">
              <w:rPr>
                <w:sz w:val="22"/>
                <w:szCs w:val="22"/>
              </w:rPr>
              <w:t>Имеющимся у Вас выбором различных брокеров для получения необходимых Вам брокерских услуг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F55F0C" w:rsidRPr="00164815" w:rsidRDefault="00F509B2" w:rsidP="00F55F0C">
            <w:pPr>
              <w:jc w:val="center"/>
              <w:rPr>
                <w:b/>
                <w:bCs/>
                <w:color w:val="000000"/>
              </w:rPr>
            </w:pPr>
            <w:r w:rsidRPr="00164815">
              <w:rPr>
                <w:b/>
                <w:bCs/>
                <w:color w:val="000000"/>
              </w:rPr>
              <w:t>0</w:t>
            </w:r>
            <w:r w:rsidR="00F55F0C" w:rsidRPr="00164815">
              <w:rPr>
                <w:b/>
                <w:bCs/>
                <w:color w:val="000000"/>
              </w:rPr>
              <w:t>%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55F0C" w:rsidRPr="00164815" w:rsidRDefault="00F509B2" w:rsidP="00F55F0C">
            <w:pPr>
              <w:jc w:val="center"/>
              <w:rPr>
                <w:b/>
                <w:bCs/>
                <w:color w:val="000000"/>
              </w:rPr>
            </w:pPr>
            <w:r w:rsidRPr="00164815">
              <w:rPr>
                <w:b/>
                <w:bCs/>
                <w:color w:val="000000"/>
              </w:rPr>
              <w:t>0</w:t>
            </w:r>
            <w:r w:rsidR="00F55F0C" w:rsidRPr="00164815">
              <w:rPr>
                <w:b/>
                <w:bCs/>
                <w:color w:val="00000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5F0C" w:rsidRPr="00164815" w:rsidRDefault="00F509B2" w:rsidP="00F55F0C">
            <w:pPr>
              <w:jc w:val="center"/>
              <w:rPr>
                <w:b/>
                <w:bCs/>
                <w:color w:val="000000"/>
              </w:rPr>
            </w:pPr>
            <w:r w:rsidRPr="00164815">
              <w:rPr>
                <w:b/>
                <w:bCs/>
                <w:color w:val="000000"/>
              </w:rPr>
              <w:t>10</w:t>
            </w:r>
            <w:r w:rsidR="00B66CBD" w:rsidRPr="00164815">
              <w:rPr>
                <w:b/>
                <w:bCs/>
                <w:color w:val="000000"/>
              </w:rPr>
              <w:t>0</w:t>
            </w:r>
            <w:r w:rsidR="00F55F0C" w:rsidRPr="00164815">
              <w:rPr>
                <w:b/>
                <w:bCs/>
                <w:color w:val="000000"/>
              </w:rPr>
              <w:t>%</w:t>
            </w:r>
          </w:p>
        </w:tc>
      </w:tr>
      <w:tr w:rsidR="00F55F0C" w:rsidRPr="00F55F0C" w:rsidTr="00B66CBD">
        <w:trPr>
          <w:trHeight w:val="308"/>
        </w:trPr>
        <w:tc>
          <w:tcPr>
            <w:tcW w:w="4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F0C" w:rsidRPr="00F55F0C" w:rsidRDefault="00F55F0C" w:rsidP="00F55F0C">
            <w:pPr>
              <w:jc w:val="both"/>
              <w:rPr>
                <w:sz w:val="22"/>
                <w:szCs w:val="22"/>
              </w:rPr>
            </w:pPr>
            <w:r w:rsidRPr="00F55F0C">
              <w:rPr>
                <w:sz w:val="22"/>
                <w:szCs w:val="22"/>
              </w:rPr>
              <w:t>Качеством интернет-связи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F55F0C" w:rsidRPr="00164815" w:rsidRDefault="00B66CBD" w:rsidP="00F55F0C">
            <w:pPr>
              <w:jc w:val="center"/>
              <w:rPr>
                <w:b/>
                <w:bCs/>
                <w:color w:val="000000"/>
              </w:rPr>
            </w:pPr>
            <w:r w:rsidRPr="00164815">
              <w:rPr>
                <w:b/>
                <w:bCs/>
                <w:color w:val="000000"/>
              </w:rPr>
              <w:t>14,8</w:t>
            </w:r>
            <w:r w:rsidR="00F55F0C" w:rsidRPr="00164815">
              <w:rPr>
                <w:b/>
                <w:bCs/>
                <w:color w:val="000000"/>
              </w:rPr>
              <w:t>%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55F0C" w:rsidRPr="00164815" w:rsidRDefault="00B66CBD" w:rsidP="00F55F0C">
            <w:pPr>
              <w:jc w:val="center"/>
              <w:rPr>
                <w:b/>
                <w:bCs/>
                <w:color w:val="000000"/>
              </w:rPr>
            </w:pPr>
            <w:r w:rsidRPr="00164815">
              <w:rPr>
                <w:b/>
                <w:bCs/>
                <w:color w:val="000000"/>
              </w:rPr>
              <w:t>85,2%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5F0C" w:rsidRPr="00164815" w:rsidRDefault="00F55F0C" w:rsidP="00F55F0C">
            <w:pPr>
              <w:jc w:val="center"/>
              <w:rPr>
                <w:b/>
                <w:bCs/>
                <w:color w:val="000000"/>
              </w:rPr>
            </w:pPr>
            <w:r w:rsidRPr="00164815">
              <w:rPr>
                <w:b/>
                <w:bCs/>
                <w:color w:val="000000"/>
              </w:rPr>
              <w:t>0%</w:t>
            </w:r>
          </w:p>
        </w:tc>
      </w:tr>
      <w:tr w:rsidR="00F55F0C" w:rsidRPr="00F55F0C" w:rsidTr="00B66CBD">
        <w:trPr>
          <w:trHeight w:val="271"/>
        </w:trPr>
        <w:tc>
          <w:tcPr>
            <w:tcW w:w="4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5F0C" w:rsidRPr="00F55F0C" w:rsidRDefault="00F55F0C" w:rsidP="00F55F0C">
            <w:pPr>
              <w:jc w:val="both"/>
              <w:rPr>
                <w:sz w:val="22"/>
                <w:szCs w:val="22"/>
              </w:rPr>
            </w:pPr>
            <w:r w:rsidRPr="00F55F0C">
              <w:rPr>
                <w:sz w:val="22"/>
                <w:szCs w:val="22"/>
              </w:rPr>
              <w:t>Качеством мобильной связи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F55F0C" w:rsidRPr="00164815" w:rsidRDefault="00F55F0C" w:rsidP="00F55F0C">
            <w:pPr>
              <w:jc w:val="center"/>
              <w:rPr>
                <w:b/>
                <w:bCs/>
                <w:color w:val="000000"/>
              </w:rPr>
            </w:pPr>
            <w:r w:rsidRPr="00164815">
              <w:rPr>
                <w:b/>
                <w:bCs/>
                <w:color w:val="000000"/>
              </w:rPr>
              <w:t>5,2%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55F0C" w:rsidRPr="00164815" w:rsidRDefault="00F55F0C" w:rsidP="00F55F0C">
            <w:pPr>
              <w:jc w:val="center"/>
              <w:rPr>
                <w:b/>
                <w:bCs/>
                <w:color w:val="000000"/>
              </w:rPr>
            </w:pPr>
            <w:r w:rsidRPr="00164815">
              <w:rPr>
                <w:b/>
                <w:bCs/>
                <w:color w:val="000000"/>
              </w:rPr>
              <w:t>94,8%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5F0C" w:rsidRPr="00164815" w:rsidRDefault="00F55F0C" w:rsidP="00F55F0C">
            <w:pPr>
              <w:jc w:val="center"/>
              <w:rPr>
                <w:b/>
                <w:bCs/>
                <w:color w:val="000000"/>
              </w:rPr>
            </w:pPr>
            <w:r w:rsidRPr="00164815">
              <w:rPr>
                <w:b/>
                <w:bCs/>
                <w:color w:val="000000"/>
              </w:rPr>
              <w:t>0%</w:t>
            </w:r>
          </w:p>
        </w:tc>
      </w:tr>
    </w:tbl>
    <w:p w:rsidR="00DB5769" w:rsidRDefault="00DB5769" w:rsidP="00834717">
      <w:pPr>
        <w:pStyle w:val="a7"/>
        <w:ind w:left="0" w:firstLine="709"/>
        <w:jc w:val="both"/>
        <w:rPr>
          <w:sz w:val="28"/>
          <w:szCs w:val="28"/>
        </w:rPr>
      </w:pPr>
    </w:p>
    <w:p w:rsidR="001C1F93" w:rsidRDefault="000956B8" w:rsidP="00834717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доступности каналов обслуживания (наличия банкоматов и банковских терминалов)</w:t>
      </w:r>
      <w:r w:rsidR="001C1F93">
        <w:rPr>
          <w:sz w:val="28"/>
          <w:szCs w:val="28"/>
        </w:rPr>
        <w:t xml:space="preserve"> в среднем</w:t>
      </w:r>
      <w:r w:rsidR="00367541">
        <w:rPr>
          <w:sz w:val="28"/>
          <w:szCs w:val="28"/>
        </w:rPr>
        <w:t xml:space="preserve"> </w:t>
      </w:r>
      <w:r w:rsidR="001C1F93">
        <w:rPr>
          <w:sz w:val="28"/>
          <w:szCs w:val="28"/>
        </w:rPr>
        <w:t>76</w:t>
      </w:r>
      <w:r>
        <w:rPr>
          <w:sz w:val="28"/>
          <w:szCs w:val="28"/>
        </w:rPr>
        <w:t xml:space="preserve">% респондентов считают, что на территории Петровского городского округа Ставропольского края </w:t>
      </w:r>
      <w:r w:rsidR="008B3206">
        <w:rPr>
          <w:sz w:val="28"/>
          <w:szCs w:val="28"/>
        </w:rPr>
        <w:t>расположение касс в отделении банка</w:t>
      </w:r>
      <w:r w:rsidR="001C1F93">
        <w:rPr>
          <w:sz w:val="28"/>
          <w:szCs w:val="28"/>
        </w:rPr>
        <w:t xml:space="preserve"> и банкоматов (терминалов) без функции выдачи наличных денег расположенных вне отделения банка </w:t>
      </w:r>
      <w:r w:rsidR="008B3206">
        <w:rPr>
          <w:sz w:val="28"/>
          <w:szCs w:val="28"/>
        </w:rPr>
        <w:t xml:space="preserve"> позволяет им легко  воспользоваться ими</w:t>
      </w:r>
      <w:r w:rsidR="001C1F93">
        <w:rPr>
          <w:sz w:val="28"/>
          <w:szCs w:val="28"/>
        </w:rPr>
        <w:t xml:space="preserve">. </w:t>
      </w:r>
    </w:p>
    <w:p w:rsidR="00DA616E" w:rsidRDefault="001C1F93" w:rsidP="00834717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банкоматов (терминалов) без функции выдачи наличных денег расположенных в отделении банка и платежных терминалов для приема наличных денег</w:t>
      </w:r>
      <w:r w:rsidR="00834717">
        <w:rPr>
          <w:sz w:val="28"/>
          <w:szCs w:val="28"/>
        </w:rPr>
        <w:t>, в среднем 42% опрошенных указало на их доступность.</w:t>
      </w:r>
    </w:p>
    <w:p w:rsidR="00834717" w:rsidRDefault="00834717" w:rsidP="00834717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свою очередь 100% респондентов считают, что </w:t>
      </w:r>
      <w:r>
        <w:rPr>
          <w:sz w:val="28"/>
          <w:szCs w:val="28"/>
          <w:lang w:val="en-US"/>
        </w:rPr>
        <w:t>POS</w:t>
      </w:r>
      <w:r>
        <w:rPr>
          <w:sz w:val="28"/>
          <w:szCs w:val="28"/>
        </w:rPr>
        <w:t>-терминалы для безнали</w:t>
      </w:r>
      <w:r w:rsidR="007371C8">
        <w:rPr>
          <w:sz w:val="28"/>
          <w:szCs w:val="28"/>
        </w:rPr>
        <w:t>чного расчета банковской картой</w:t>
      </w:r>
      <w:r>
        <w:rPr>
          <w:sz w:val="28"/>
          <w:szCs w:val="28"/>
        </w:rPr>
        <w:t xml:space="preserve"> есть </w:t>
      </w:r>
      <w:r w:rsidR="007371C8">
        <w:rPr>
          <w:sz w:val="28"/>
          <w:szCs w:val="28"/>
        </w:rPr>
        <w:t>практически в каждой органи</w:t>
      </w:r>
      <w:r w:rsidR="005554F8">
        <w:rPr>
          <w:sz w:val="28"/>
          <w:szCs w:val="28"/>
        </w:rPr>
        <w:t xml:space="preserve">зации торговли. </w:t>
      </w:r>
    </w:p>
    <w:p w:rsidR="00F06FC6" w:rsidRPr="00F06FC6" w:rsidRDefault="00F06FC6" w:rsidP="00834717">
      <w:pPr>
        <w:pStyle w:val="a7"/>
        <w:ind w:left="0" w:firstLine="709"/>
        <w:jc w:val="both"/>
        <w:rPr>
          <w:sz w:val="28"/>
          <w:szCs w:val="28"/>
        </w:rPr>
      </w:pPr>
      <w:r w:rsidRPr="00F06FC6">
        <w:rPr>
          <w:sz w:val="28"/>
          <w:szCs w:val="28"/>
        </w:rPr>
        <w:t>Эти данные по</w:t>
      </w:r>
      <w:r>
        <w:rPr>
          <w:sz w:val="28"/>
          <w:szCs w:val="28"/>
        </w:rPr>
        <w:t xml:space="preserve">зволяют сделать вывод о высоком </w:t>
      </w:r>
      <w:r w:rsidRPr="00F06FC6">
        <w:rPr>
          <w:sz w:val="28"/>
          <w:szCs w:val="28"/>
        </w:rPr>
        <w:t>насыщении</w:t>
      </w:r>
      <w:r>
        <w:rPr>
          <w:sz w:val="28"/>
          <w:szCs w:val="28"/>
        </w:rPr>
        <w:t xml:space="preserve"> каналов доступа к финансовым продуктам (услугам)</w:t>
      </w:r>
      <w:r w:rsidRPr="00F06FC6">
        <w:rPr>
          <w:sz w:val="28"/>
          <w:szCs w:val="28"/>
        </w:rPr>
        <w:t>, то есть найти хотя бы один канал получения финансовых услуг могут практически все категории населения.</w:t>
      </w:r>
    </w:p>
    <w:sectPr w:rsidR="00F06FC6" w:rsidRPr="00F06FC6" w:rsidSect="008A7A3F">
      <w:pgSz w:w="11906" w:h="16838"/>
      <w:pgMar w:top="426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4896"/>
    <w:multiLevelType w:val="hybridMultilevel"/>
    <w:tmpl w:val="15EC5F5C"/>
    <w:lvl w:ilvl="0" w:tplc="374E0D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8071D2"/>
    <w:multiLevelType w:val="hybridMultilevel"/>
    <w:tmpl w:val="DDD26D8A"/>
    <w:lvl w:ilvl="0" w:tplc="59629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14854"/>
    <w:multiLevelType w:val="hybridMultilevel"/>
    <w:tmpl w:val="2E8637BC"/>
    <w:lvl w:ilvl="0" w:tplc="F62486D6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F0F1E68"/>
    <w:multiLevelType w:val="hybridMultilevel"/>
    <w:tmpl w:val="DA44E318"/>
    <w:lvl w:ilvl="0" w:tplc="E10C4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9C5B6A"/>
    <w:multiLevelType w:val="hybridMultilevel"/>
    <w:tmpl w:val="01603A22"/>
    <w:lvl w:ilvl="0" w:tplc="0E66D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93451F"/>
    <w:multiLevelType w:val="hybridMultilevel"/>
    <w:tmpl w:val="0904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characterSpacingControl w:val="doNotCompress"/>
  <w:compat/>
  <w:rsids>
    <w:rsidRoot w:val="00623D0B"/>
    <w:rsid w:val="000020C0"/>
    <w:rsid w:val="000061C6"/>
    <w:rsid w:val="00013587"/>
    <w:rsid w:val="000151D2"/>
    <w:rsid w:val="00015B59"/>
    <w:rsid w:val="00016788"/>
    <w:rsid w:val="00016D66"/>
    <w:rsid w:val="00021136"/>
    <w:rsid w:val="00023C51"/>
    <w:rsid w:val="000251F4"/>
    <w:rsid w:val="00025B93"/>
    <w:rsid w:val="00033D29"/>
    <w:rsid w:val="000347E1"/>
    <w:rsid w:val="00034DAE"/>
    <w:rsid w:val="000364A6"/>
    <w:rsid w:val="00045592"/>
    <w:rsid w:val="00050C5A"/>
    <w:rsid w:val="000511EA"/>
    <w:rsid w:val="00055A42"/>
    <w:rsid w:val="0006109A"/>
    <w:rsid w:val="00063377"/>
    <w:rsid w:val="00064254"/>
    <w:rsid w:val="00066FBB"/>
    <w:rsid w:val="00067B6C"/>
    <w:rsid w:val="00077A83"/>
    <w:rsid w:val="00081F61"/>
    <w:rsid w:val="00084F4E"/>
    <w:rsid w:val="00085BF2"/>
    <w:rsid w:val="00092FDB"/>
    <w:rsid w:val="00094B38"/>
    <w:rsid w:val="000956B8"/>
    <w:rsid w:val="000A1FF5"/>
    <w:rsid w:val="000A6579"/>
    <w:rsid w:val="000B7BDA"/>
    <w:rsid w:val="000B7F08"/>
    <w:rsid w:val="000C0E00"/>
    <w:rsid w:val="000C25CF"/>
    <w:rsid w:val="000C31BA"/>
    <w:rsid w:val="000C55BB"/>
    <w:rsid w:val="000D1E1F"/>
    <w:rsid w:val="000D336A"/>
    <w:rsid w:val="000D4913"/>
    <w:rsid w:val="000F2407"/>
    <w:rsid w:val="001018F4"/>
    <w:rsid w:val="00103EF0"/>
    <w:rsid w:val="001041CC"/>
    <w:rsid w:val="001044E0"/>
    <w:rsid w:val="001078BC"/>
    <w:rsid w:val="0011040B"/>
    <w:rsid w:val="00110C99"/>
    <w:rsid w:val="001124C9"/>
    <w:rsid w:val="001244D3"/>
    <w:rsid w:val="00124BAD"/>
    <w:rsid w:val="00132365"/>
    <w:rsid w:val="00134B43"/>
    <w:rsid w:val="001350B1"/>
    <w:rsid w:val="00136B3A"/>
    <w:rsid w:val="0013706F"/>
    <w:rsid w:val="00140538"/>
    <w:rsid w:val="00144661"/>
    <w:rsid w:val="00144DB6"/>
    <w:rsid w:val="00147CF0"/>
    <w:rsid w:val="00157E51"/>
    <w:rsid w:val="00164638"/>
    <w:rsid w:val="00164815"/>
    <w:rsid w:val="0017018E"/>
    <w:rsid w:val="0017074B"/>
    <w:rsid w:val="0017790F"/>
    <w:rsid w:val="001809B3"/>
    <w:rsid w:val="001855B3"/>
    <w:rsid w:val="0019397F"/>
    <w:rsid w:val="001A7C0D"/>
    <w:rsid w:val="001B3A9A"/>
    <w:rsid w:val="001B62E8"/>
    <w:rsid w:val="001B6A6D"/>
    <w:rsid w:val="001B789B"/>
    <w:rsid w:val="001C004D"/>
    <w:rsid w:val="001C1F93"/>
    <w:rsid w:val="001C4F30"/>
    <w:rsid w:val="001C5BBD"/>
    <w:rsid w:val="001C671D"/>
    <w:rsid w:val="001C78E3"/>
    <w:rsid w:val="001D720B"/>
    <w:rsid w:val="001E238A"/>
    <w:rsid w:val="001E339B"/>
    <w:rsid w:val="001E698F"/>
    <w:rsid w:val="001E7117"/>
    <w:rsid w:val="001F3ED8"/>
    <w:rsid w:val="001F4DC2"/>
    <w:rsid w:val="001F6518"/>
    <w:rsid w:val="001F6D60"/>
    <w:rsid w:val="001F7D51"/>
    <w:rsid w:val="00200DFD"/>
    <w:rsid w:val="00202E46"/>
    <w:rsid w:val="00203E6E"/>
    <w:rsid w:val="002064BD"/>
    <w:rsid w:val="00211F0C"/>
    <w:rsid w:val="00213448"/>
    <w:rsid w:val="002149BA"/>
    <w:rsid w:val="00217972"/>
    <w:rsid w:val="00227F3F"/>
    <w:rsid w:val="00240A4D"/>
    <w:rsid w:val="00242F21"/>
    <w:rsid w:val="00242FDD"/>
    <w:rsid w:val="00244111"/>
    <w:rsid w:val="002442B4"/>
    <w:rsid w:val="002442E6"/>
    <w:rsid w:val="00244F25"/>
    <w:rsid w:val="00250685"/>
    <w:rsid w:val="0026229E"/>
    <w:rsid w:val="00265E7E"/>
    <w:rsid w:val="00266743"/>
    <w:rsid w:val="002674C3"/>
    <w:rsid w:val="00267C53"/>
    <w:rsid w:val="00270BB2"/>
    <w:rsid w:val="00270FAD"/>
    <w:rsid w:val="00276E67"/>
    <w:rsid w:val="00277EFA"/>
    <w:rsid w:val="00282F9D"/>
    <w:rsid w:val="00283608"/>
    <w:rsid w:val="00283650"/>
    <w:rsid w:val="0028454E"/>
    <w:rsid w:val="00287BA3"/>
    <w:rsid w:val="00291D8D"/>
    <w:rsid w:val="00294D8B"/>
    <w:rsid w:val="002972F5"/>
    <w:rsid w:val="002A101B"/>
    <w:rsid w:val="002A22E0"/>
    <w:rsid w:val="002B064E"/>
    <w:rsid w:val="002B6C60"/>
    <w:rsid w:val="002C130B"/>
    <w:rsid w:val="002C1A8B"/>
    <w:rsid w:val="002C51DE"/>
    <w:rsid w:val="002C589A"/>
    <w:rsid w:val="002C75C4"/>
    <w:rsid w:val="002D0E25"/>
    <w:rsid w:val="002E0739"/>
    <w:rsid w:val="002E1F68"/>
    <w:rsid w:val="002F0A14"/>
    <w:rsid w:val="002F1FDA"/>
    <w:rsid w:val="002F27AF"/>
    <w:rsid w:val="002F2E92"/>
    <w:rsid w:val="00303355"/>
    <w:rsid w:val="00306C79"/>
    <w:rsid w:val="00314577"/>
    <w:rsid w:val="00322A44"/>
    <w:rsid w:val="00331CC6"/>
    <w:rsid w:val="00333FEF"/>
    <w:rsid w:val="003354AE"/>
    <w:rsid w:val="00351E6E"/>
    <w:rsid w:val="00353D9A"/>
    <w:rsid w:val="00354A92"/>
    <w:rsid w:val="0036198E"/>
    <w:rsid w:val="00361D47"/>
    <w:rsid w:val="00361DED"/>
    <w:rsid w:val="0036341F"/>
    <w:rsid w:val="00365D05"/>
    <w:rsid w:val="0036698A"/>
    <w:rsid w:val="00367541"/>
    <w:rsid w:val="00372BB1"/>
    <w:rsid w:val="00376CB9"/>
    <w:rsid w:val="00385852"/>
    <w:rsid w:val="0038614A"/>
    <w:rsid w:val="00390A98"/>
    <w:rsid w:val="0039378B"/>
    <w:rsid w:val="00395FA0"/>
    <w:rsid w:val="003A14C6"/>
    <w:rsid w:val="003A2597"/>
    <w:rsid w:val="003A49FA"/>
    <w:rsid w:val="003A7666"/>
    <w:rsid w:val="003B0AF3"/>
    <w:rsid w:val="003B10D1"/>
    <w:rsid w:val="003B6438"/>
    <w:rsid w:val="003C4492"/>
    <w:rsid w:val="003C6F08"/>
    <w:rsid w:val="003D14B0"/>
    <w:rsid w:val="003D18A9"/>
    <w:rsid w:val="003D4FDC"/>
    <w:rsid w:val="003D692F"/>
    <w:rsid w:val="003E03E9"/>
    <w:rsid w:val="003E5FA0"/>
    <w:rsid w:val="0040711E"/>
    <w:rsid w:val="00407AE6"/>
    <w:rsid w:val="00407FC5"/>
    <w:rsid w:val="00410D73"/>
    <w:rsid w:val="00416E8B"/>
    <w:rsid w:val="00420B19"/>
    <w:rsid w:val="004247B8"/>
    <w:rsid w:val="00425B17"/>
    <w:rsid w:val="004270E1"/>
    <w:rsid w:val="004355EC"/>
    <w:rsid w:val="004369B7"/>
    <w:rsid w:val="00447175"/>
    <w:rsid w:val="004530F1"/>
    <w:rsid w:val="00456050"/>
    <w:rsid w:val="00461A71"/>
    <w:rsid w:val="00462F44"/>
    <w:rsid w:val="00463000"/>
    <w:rsid w:val="00465D27"/>
    <w:rsid w:val="004661F7"/>
    <w:rsid w:val="0046649C"/>
    <w:rsid w:val="00466658"/>
    <w:rsid w:val="00484401"/>
    <w:rsid w:val="00486F24"/>
    <w:rsid w:val="00492A09"/>
    <w:rsid w:val="0049454E"/>
    <w:rsid w:val="0049481C"/>
    <w:rsid w:val="004A11F6"/>
    <w:rsid w:val="004A3B89"/>
    <w:rsid w:val="004A763A"/>
    <w:rsid w:val="004B36C3"/>
    <w:rsid w:val="004B5693"/>
    <w:rsid w:val="004B63E3"/>
    <w:rsid w:val="004B7654"/>
    <w:rsid w:val="004C0F6E"/>
    <w:rsid w:val="004C66C6"/>
    <w:rsid w:val="004D0D29"/>
    <w:rsid w:val="004D6428"/>
    <w:rsid w:val="004E6336"/>
    <w:rsid w:val="004E6C83"/>
    <w:rsid w:val="004F0AC4"/>
    <w:rsid w:val="004F1BF2"/>
    <w:rsid w:val="004F1F6E"/>
    <w:rsid w:val="004F2505"/>
    <w:rsid w:val="004F2F4E"/>
    <w:rsid w:val="004F3F2C"/>
    <w:rsid w:val="004F5503"/>
    <w:rsid w:val="004F7FD7"/>
    <w:rsid w:val="005051FC"/>
    <w:rsid w:val="00505B4F"/>
    <w:rsid w:val="005167EB"/>
    <w:rsid w:val="0052625F"/>
    <w:rsid w:val="00526477"/>
    <w:rsid w:val="00527B2D"/>
    <w:rsid w:val="00530773"/>
    <w:rsid w:val="00532EE5"/>
    <w:rsid w:val="00535D92"/>
    <w:rsid w:val="00536927"/>
    <w:rsid w:val="005405C7"/>
    <w:rsid w:val="00545BCE"/>
    <w:rsid w:val="0054660D"/>
    <w:rsid w:val="00547E2C"/>
    <w:rsid w:val="005530B4"/>
    <w:rsid w:val="00553C87"/>
    <w:rsid w:val="005554F8"/>
    <w:rsid w:val="0056779D"/>
    <w:rsid w:val="00574FD4"/>
    <w:rsid w:val="0057566C"/>
    <w:rsid w:val="0057584B"/>
    <w:rsid w:val="005910CB"/>
    <w:rsid w:val="00591733"/>
    <w:rsid w:val="00592C21"/>
    <w:rsid w:val="00594D37"/>
    <w:rsid w:val="00597635"/>
    <w:rsid w:val="005A130B"/>
    <w:rsid w:val="005A28C4"/>
    <w:rsid w:val="005A7DB4"/>
    <w:rsid w:val="005B0ADD"/>
    <w:rsid w:val="005B3651"/>
    <w:rsid w:val="005B5DF3"/>
    <w:rsid w:val="005C08CF"/>
    <w:rsid w:val="005C3057"/>
    <w:rsid w:val="005C6143"/>
    <w:rsid w:val="005D792F"/>
    <w:rsid w:val="005E2536"/>
    <w:rsid w:val="005E67D5"/>
    <w:rsid w:val="005E740D"/>
    <w:rsid w:val="005E74FE"/>
    <w:rsid w:val="005F5C15"/>
    <w:rsid w:val="005F64BA"/>
    <w:rsid w:val="005F66F5"/>
    <w:rsid w:val="00611AA2"/>
    <w:rsid w:val="00622852"/>
    <w:rsid w:val="00623D0B"/>
    <w:rsid w:val="00627940"/>
    <w:rsid w:val="00630E83"/>
    <w:rsid w:val="0063189E"/>
    <w:rsid w:val="00634F71"/>
    <w:rsid w:val="006355C6"/>
    <w:rsid w:val="00637143"/>
    <w:rsid w:val="006435C7"/>
    <w:rsid w:val="00643E86"/>
    <w:rsid w:val="006507E0"/>
    <w:rsid w:val="00653356"/>
    <w:rsid w:val="00656E9B"/>
    <w:rsid w:val="006650A4"/>
    <w:rsid w:val="0066556E"/>
    <w:rsid w:val="00665AFC"/>
    <w:rsid w:val="00677563"/>
    <w:rsid w:val="00685E4C"/>
    <w:rsid w:val="006A3D13"/>
    <w:rsid w:val="006A3E21"/>
    <w:rsid w:val="006A602A"/>
    <w:rsid w:val="006A7400"/>
    <w:rsid w:val="006B0709"/>
    <w:rsid w:val="006B33EB"/>
    <w:rsid w:val="006B4317"/>
    <w:rsid w:val="006B4C10"/>
    <w:rsid w:val="006C2F22"/>
    <w:rsid w:val="006C3C84"/>
    <w:rsid w:val="006C4278"/>
    <w:rsid w:val="006C44F8"/>
    <w:rsid w:val="006C5CB1"/>
    <w:rsid w:val="006D199C"/>
    <w:rsid w:val="006D2D94"/>
    <w:rsid w:val="006D51FE"/>
    <w:rsid w:val="006E647F"/>
    <w:rsid w:val="006E6733"/>
    <w:rsid w:val="006E69DF"/>
    <w:rsid w:val="006F7537"/>
    <w:rsid w:val="00700243"/>
    <w:rsid w:val="007074D1"/>
    <w:rsid w:val="00710C52"/>
    <w:rsid w:val="0071340C"/>
    <w:rsid w:val="007141BD"/>
    <w:rsid w:val="0072025F"/>
    <w:rsid w:val="0072159B"/>
    <w:rsid w:val="0072374B"/>
    <w:rsid w:val="00725E37"/>
    <w:rsid w:val="007311BA"/>
    <w:rsid w:val="00732729"/>
    <w:rsid w:val="00734FE5"/>
    <w:rsid w:val="007371C8"/>
    <w:rsid w:val="00737DFA"/>
    <w:rsid w:val="00742F04"/>
    <w:rsid w:val="007506B6"/>
    <w:rsid w:val="00762936"/>
    <w:rsid w:val="00765957"/>
    <w:rsid w:val="0077207B"/>
    <w:rsid w:val="00782D62"/>
    <w:rsid w:val="0078562C"/>
    <w:rsid w:val="0078787A"/>
    <w:rsid w:val="007B0E96"/>
    <w:rsid w:val="007C3AFF"/>
    <w:rsid w:val="007D2686"/>
    <w:rsid w:val="007D6CD1"/>
    <w:rsid w:val="007D6F05"/>
    <w:rsid w:val="007D74EF"/>
    <w:rsid w:val="007E2C01"/>
    <w:rsid w:val="007F1336"/>
    <w:rsid w:val="007F369A"/>
    <w:rsid w:val="007F3BD4"/>
    <w:rsid w:val="007F64E4"/>
    <w:rsid w:val="00803DAC"/>
    <w:rsid w:val="00804F2C"/>
    <w:rsid w:val="00806F2B"/>
    <w:rsid w:val="00812434"/>
    <w:rsid w:val="00814801"/>
    <w:rsid w:val="00834717"/>
    <w:rsid w:val="0083547B"/>
    <w:rsid w:val="00837E70"/>
    <w:rsid w:val="008504F9"/>
    <w:rsid w:val="00850C90"/>
    <w:rsid w:val="00853C16"/>
    <w:rsid w:val="00860986"/>
    <w:rsid w:val="00862C08"/>
    <w:rsid w:val="00864949"/>
    <w:rsid w:val="00866082"/>
    <w:rsid w:val="00866DF5"/>
    <w:rsid w:val="00870E26"/>
    <w:rsid w:val="008711D7"/>
    <w:rsid w:val="00871962"/>
    <w:rsid w:val="00872A07"/>
    <w:rsid w:val="00877A3C"/>
    <w:rsid w:val="0089032E"/>
    <w:rsid w:val="00893BFD"/>
    <w:rsid w:val="00896C19"/>
    <w:rsid w:val="008970D2"/>
    <w:rsid w:val="008A2899"/>
    <w:rsid w:val="008A5E34"/>
    <w:rsid w:val="008A7A3F"/>
    <w:rsid w:val="008B07C1"/>
    <w:rsid w:val="008B3206"/>
    <w:rsid w:val="008B4661"/>
    <w:rsid w:val="008B6CF4"/>
    <w:rsid w:val="008C35BA"/>
    <w:rsid w:val="008C5731"/>
    <w:rsid w:val="008C5DFC"/>
    <w:rsid w:val="008C6E4E"/>
    <w:rsid w:val="008D28BE"/>
    <w:rsid w:val="008D35E2"/>
    <w:rsid w:val="008D76B8"/>
    <w:rsid w:val="008D7C8C"/>
    <w:rsid w:val="008E3527"/>
    <w:rsid w:val="008E44A9"/>
    <w:rsid w:val="008F118B"/>
    <w:rsid w:val="008F54D6"/>
    <w:rsid w:val="008F58CA"/>
    <w:rsid w:val="008F63C4"/>
    <w:rsid w:val="00900E48"/>
    <w:rsid w:val="00903992"/>
    <w:rsid w:val="0090785B"/>
    <w:rsid w:val="009112F4"/>
    <w:rsid w:val="00911B28"/>
    <w:rsid w:val="00916698"/>
    <w:rsid w:val="00920BEE"/>
    <w:rsid w:val="009230B2"/>
    <w:rsid w:val="009246F3"/>
    <w:rsid w:val="009309FC"/>
    <w:rsid w:val="00936D05"/>
    <w:rsid w:val="00940333"/>
    <w:rsid w:val="00950655"/>
    <w:rsid w:val="009515C9"/>
    <w:rsid w:val="009529A8"/>
    <w:rsid w:val="00957773"/>
    <w:rsid w:val="00970FEF"/>
    <w:rsid w:val="00971CB5"/>
    <w:rsid w:val="009729C4"/>
    <w:rsid w:val="00982877"/>
    <w:rsid w:val="009941D3"/>
    <w:rsid w:val="009B046B"/>
    <w:rsid w:val="009B2487"/>
    <w:rsid w:val="009C0F02"/>
    <w:rsid w:val="009C3D7D"/>
    <w:rsid w:val="009C626F"/>
    <w:rsid w:val="009C6F92"/>
    <w:rsid w:val="009D11EC"/>
    <w:rsid w:val="009E0117"/>
    <w:rsid w:val="009F2DC5"/>
    <w:rsid w:val="009F399B"/>
    <w:rsid w:val="009F3B95"/>
    <w:rsid w:val="009F44F0"/>
    <w:rsid w:val="009F5679"/>
    <w:rsid w:val="009F67CF"/>
    <w:rsid w:val="009F7604"/>
    <w:rsid w:val="00A019E1"/>
    <w:rsid w:val="00A02E5A"/>
    <w:rsid w:val="00A040E6"/>
    <w:rsid w:val="00A049E9"/>
    <w:rsid w:val="00A07BF0"/>
    <w:rsid w:val="00A10E51"/>
    <w:rsid w:val="00A1233E"/>
    <w:rsid w:val="00A12E7F"/>
    <w:rsid w:val="00A13DB4"/>
    <w:rsid w:val="00A1413D"/>
    <w:rsid w:val="00A159E9"/>
    <w:rsid w:val="00A16E91"/>
    <w:rsid w:val="00A172CE"/>
    <w:rsid w:val="00A174B0"/>
    <w:rsid w:val="00A20F6E"/>
    <w:rsid w:val="00A25205"/>
    <w:rsid w:val="00A25E5B"/>
    <w:rsid w:val="00A32BAC"/>
    <w:rsid w:val="00A36BFA"/>
    <w:rsid w:val="00A40478"/>
    <w:rsid w:val="00A4058B"/>
    <w:rsid w:val="00A4344A"/>
    <w:rsid w:val="00A50B91"/>
    <w:rsid w:val="00A51CED"/>
    <w:rsid w:val="00A52CD8"/>
    <w:rsid w:val="00A634E5"/>
    <w:rsid w:val="00A63CD9"/>
    <w:rsid w:val="00A652E5"/>
    <w:rsid w:val="00A656DC"/>
    <w:rsid w:val="00A744B9"/>
    <w:rsid w:val="00A80A8E"/>
    <w:rsid w:val="00A80D54"/>
    <w:rsid w:val="00A81E94"/>
    <w:rsid w:val="00A90589"/>
    <w:rsid w:val="00A93143"/>
    <w:rsid w:val="00A93C12"/>
    <w:rsid w:val="00A961DA"/>
    <w:rsid w:val="00AA31DB"/>
    <w:rsid w:val="00AA78F0"/>
    <w:rsid w:val="00AB1822"/>
    <w:rsid w:val="00AB26D4"/>
    <w:rsid w:val="00AB2B90"/>
    <w:rsid w:val="00AB7E53"/>
    <w:rsid w:val="00AC2AB6"/>
    <w:rsid w:val="00AC72C3"/>
    <w:rsid w:val="00AD1A96"/>
    <w:rsid w:val="00AE0E75"/>
    <w:rsid w:val="00AE2B31"/>
    <w:rsid w:val="00AE39B1"/>
    <w:rsid w:val="00AF1164"/>
    <w:rsid w:val="00AF1B19"/>
    <w:rsid w:val="00AF33F2"/>
    <w:rsid w:val="00AF5767"/>
    <w:rsid w:val="00AF7A0A"/>
    <w:rsid w:val="00B00279"/>
    <w:rsid w:val="00B03434"/>
    <w:rsid w:val="00B0518C"/>
    <w:rsid w:val="00B12324"/>
    <w:rsid w:val="00B12A8C"/>
    <w:rsid w:val="00B13FDA"/>
    <w:rsid w:val="00B16870"/>
    <w:rsid w:val="00B21268"/>
    <w:rsid w:val="00B22F8F"/>
    <w:rsid w:val="00B26BAB"/>
    <w:rsid w:val="00B321D0"/>
    <w:rsid w:val="00B33045"/>
    <w:rsid w:val="00B3494D"/>
    <w:rsid w:val="00B36102"/>
    <w:rsid w:val="00B37D27"/>
    <w:rsid w:val="00B41EBB"/>
    <w:rsid w:val="00B4318E"/>
    <w:rsid w:val="00B44A77"/>
    <w:rsid w:val="00B50EB9"/>
    <w:rsid w:val="00B5110A"/>
    <w:rsid w:val="00B52721"/>
    <w:rsid w:val="00B52D0D"/>
    <w:rsid w:val="00B549EC"/>
    <w:rsid w:val="00B56980"/>
    <w:rsid w:val="00B646BA"/>
    <w:rsid w:val="00B6487D"/>
    <w:rsid w:val="00B662A8"/>
    <w:rsid w:val="00B66CBD"/>
    <w:rsid w:val="00B674B5"/>
    <w:rsid w:val="00B727EE"/>
    <w:rsid w:val="00B73C40"/>
    <w:rsid w:val="00BA21FF"/>
    <w:rsid w:val="00BB0DF2"/>
    <w:rsid w:val="00BC6982"/>
    <w:rsid w:val="00BD0B43"/>
    <w:rsid w:val="00BD196A"/>
    <w:rsid w:val="00BD72E8"/>
    <w:rsid w:val="00BD7B1D"/>
    <w:rsid w:val="00BE09C6"/>
    <w:rsid w:val="00BE436B"/>
    <w:rsid w:val="00BE4FFD"/>
    <w:rsid w:val="00BF1EF9"/>
    <w:rsid w:val="00BF3F70"/>
    <w:rsid w:val="00BF49F5"/>
    <w:rsid w:val="00BF4CBC"/>
    <w:rsid w:val="00C038DC"/>
    <w:rsid w:val="00C0489B"/>
    <w:rsid w:val="00C0697A"/>
    <w:rsid w:val="00C10F5A"/>
    <w:rsid w:val="00C111CE"/>
    <w:rsid w:val="00C2240A"/>
    <w:rsid w:val="00C2708B"/>
    <w:rsid w:val="00C32F0A"/>
    <w:rsid w:val="00C4087C"/>
    <w:rsid w:val="00C43B4B"/>
    <w:rsid w:val="00C4755B"/>
    <w:rsid w:val="00C47CAE"/>
    <w:rsid w:val="00C571F3"/>
    <w:rsid w:val="00C7064F"/>
    <w:rsid w:val="00C74A60"/>
    <w:rsid w:val="00C8425B"/>
    <w:rsid w:val="00C85738"/>
    <w:rsid w:val="00C85EBD"/>
    <w:rsid w:val="00CA02FF"/>
    <w:rsid w:val="00CA55E6"/>
    <w:rsid w:val="00CB3976"/>
    <w:rsid w:val="00CB6080"/>
    <w:rsid w:val="00CD5A4D"/>
    <w:rsid w:val="00CE13B3"/>
    <w:rsid w:val="00CE4F0B"/>
    <w:rsid w:val="00CE631E"/>
    <w:rsid w:val="00CE702F"/>
    <w:rsid w:val="00D0205A"/>
    <w:rsid w:val="00D03755"/>
    <w:rsid w:val="00D04015"/>
    <w:rsid w:val="00D04D61"/>
    <w:rsid w:val="00D10BB0"/>
    <w:rsid w:val="00D11B53"/>
    <w:rsid w:val="00D1202F"/>
    <w:rsid w:val="00D13A79"/>
    <w:rsid w:val="00D13AE7"/>
    <w:rsid w:val="00D173E5"/>
    <w:rsid w:val="00D17730"/>
    <w:rsid w:val="00D24152"/>
    <w:rsid w:val="00D24F6A"/>
    <w:rsid w:val="00D31A0B"/>
    <w:rsid w:val="00D33D79"/>
    <w:rsid w:val="00D40782"/>
    <w:rsid w:val="00D4086D"/>
    <w:rsid w:val="00D40CA2"/>
    <w:rsid w:val="00D42618"/>
    <w:rsid w:val="00D46CA3"/>
    <w:rsid w:val="00D47802"/>
    <w:rsid w:val="00D5124B"/>
    <w:rsid w:val="00D53F6F"/>
    <w:rsid w:val="00D54846"/>
    <w:rsid w:val="00D56ADF"/>
    <w:rsid w:val="00D61E29"/>
    <w:rsid w:val="00D626B3"/>
    <w:rsid w:val="00D63802"/>
    <w:rsid w:val="00D6592E"/>
    <w:rsid w:val="00D671B7"/>
    <w:rsid w:val="00D7780F"/>
    <w:rsid w:val="00D80EF3"/>
    <w:rsid w:val="00D8719F"/>
    <w:rsid w:val="00D94689"/>
    <w:rsid w:val="00DA3160"/>
    <w:rsid w:val="00DA3B07"/>
    <w:rsid w:val="00DA42EB"/>
    <w:rsid w:val="00DA616E"/>
    <w:rsid w:val="00DB16B7"/>
    <w:rsid w:val="00DB3376"/>
    <w:rsid w:val="00DB5769"/>
    <w:rsid w:val="00DC136E"/>
    <w:rsid w:val="00DD5AF6"/>
    <w:rsid w:val="00DD67DE"/>
    <w:rsid w:val="00DE043C"/>
    <w:rsid w:val="00DE308E"/>
    <w:rsid w:val="00DE7BB6"/>
    <w:rsid w:val="00DF0BDC"/>
    <w:rsid w:val="00DF3B31"/>
    <w:rsid w:val="00DF6A57"/>
    <w:rsid w:val="00E05529"/>
    <w:rsid w:val="00E06805"/>
    <w:rsid w:val="00E13A39"/>
    <w:rsid w:val="00E21360"/>
    <w:rsid w:val="00E21F66"/>
    <w:rsid w:val="00E231D7"/>
    <w:rsid w:val="00E242FD"/>
    <w:rsid w:val="00E2553A"/>
    <w:rsid w:val="00E25FD4"/>
    <w:rsid w:val="00E270DA"/>
    <w:rsid w:val="00E279A2"/>
    <w:rsid w:val="00E31CAF"/>
    <w:rsid w:val="00E43E26"/>
    <w:rsid w:val="00E46FD3"/>
    <w:rsid w:val="00E4738A"/>
    <w:rsid w:val="00E477B9"/>
    <w:rsid w:val="00E50CA0"/>
    <w:rsid w:val="00E50DF8"/>
    <w:rsid w:val="00E55F5B"/>
    <w:rsid w:val="00E65C77"/>
    <w:rsid w:val="00E6784C"/>
    <w:rsid w:val="00E73D1C"/>
    <w:rsid w:val="00E80335"/>
    <w:rsid w:val="00E90DF6"/>
    <w:rsid w:val="00E91439"/>
    <w:rsid w:val="00E9149A"/>
    <w:rsid w:val="00E92A4B"/>
    <w:rsid w:val="00E93E91"/>
    <w:rsid w:val="00E94ED1"/>
    <w:rsid w:val="00E959A9"/>
    <w:rsid w:val="00E96279"/>
    <w:rsid w:val="00EA287A"/>
    <w:rsid w:val="00EA2F0E"/>
    <w:rsid w:val="00EA7AE7"/>
    <w:rsid w:val="00EB54A7"/>
    <w:rsid w:val="00EC1010"/>
    <w:rsid w:val="00EC30C6"/>
    <w:rsid w:val="00EC5E6E"/>
    <w:rsid w:val="00ED2B03"/>
    <w:rsid w:val="00ED2EDA"/>
    <w:rsid w:val="00ED3999"/>
    <w:rsid w:val="00ED766E"/>
    <w:rsid w:val="00EE6CDC"/>
    <w:rsid w:val="00EF2465"/>
    <w:rsid w:val="00F00BA4"/>
    <w:rsid w:val="00F047B1"/>
    <w:rsid w:val="00F053B4"/>
    <w:rsid w:val="00F06332"/>
    <w:rsid w:val="00F06FC6"/>
    <w:rsid w:val="00F0744A"/>
    <w:rsid w:val="00F10669"/>
    <w:rsid w:val="00F12403"/>
    <w:rsid w:val="00F1340E"/>
    <w:rsid w:val="00F150DD"/>
    <w:rsid w:val="00F16C4C"/>
    <w:rsid w:val="00F20603"/>
    <w:rsid w:val="00F213C8"/>
    <w:rsid w:val="00F3227F"/>
    <w:rsid w:val="00F34530"/>
    <w:rsid w:val="00F34BC7"/>
    <w:rsid w:val="00F37D32"/>
    <w:rsid w:val="00F42016"/>
    <w:rsid w:val="00F46ED2"/>
    <w:rsid w:val="00F509B2"/>
    <w:rsid w:val="00F55F0C"/>
    <w:rsid w:val="00F576B0"/>
    <w:rsid w:val="00F57CB2"/>
    <w:rsid w:val="00F64EA8"/>
    <w:rsid w:val="00F65539"/>
    <w:rsid w:val="00F65B2B"/>
    <w:rsid w:val="00F667B1"/>
    <w:rsid w:val="00F702EA"/>
    <w:rsid w:val="00F7058F"/>
    <w:rsid w:val="00F73F97"/>
    <w:rsid w:val="00F740FC"/>
    <w:rsid w:val="00F76554"/>
    <w:rsid w:val="00F844A1"/>
    <w:rsid w:val="00F84A3F"/>
    <w:rsid w:val="00F862C0"/>
    <w:rsid w:val="00F9089F"/>
    <w:rsid w:val="00F90C62"/>
    <w:rsid w:val="00F92BDD"/>
    <w:rsid w:val="00F92E10"/>
    <w:rsid w:val="00F940F8"/>
    <w:rsid w:val="00F948C1"/>
    <w:rsid w:val="00FA0CD5"/>
    <w:rsid w:val="00FA1C5D"/>
    <w:rsid w:val="00FA224C"/>
    <w:rsid w:val="00FA2BE9"/>
    <w:rsid w:val="00FA59EB"/>
    <w:rsid w:val="00FB42BA"/>
    <w:rsid w:val="00FB6C0E"/>
    <w:rsid w:val="00FC4441"/>
    <w:rsid w:val="00FC4857"/>
    <w:rsid w:val="00FC6277"/>
    <w:rsid w:val="00FD16A3"/>
    <w:rsid w:val="00FD2B99"/>
    <w:rsid w:val="00FD4615"/>
    <w:rsid w:val="00FE053F"/>
    <w:rsid w:val="00FE2392"/>
    <w:rsid w:val="00FE439B"/>
    <w:rsid w:val="00FE5BC6"/>
    <w:rsid w:val="00FE7211"/>
    <w:rsid w:val="00FF007F"/>
    <w:rsid w:val="00FF2360"/>
    <w:rsid w:val="00FF23B6"/>
    <w:rsid w:val="00FF5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3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BE4F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nhideWhenUsed/>
    <w:qFormat/>
    <w:rsid w:val="001E7117"/>
    <w:rPr>
      <w:b/>
      <w:bCs/>
      <w:sz w:val="20"/>
      <w:szCs w:val="20"/>
    </w:rPr>
  </w:style>
  <w:style w:type="paragraph" w:styleId="a5">
    <w:name w:val="Balloon Text"/>
    <w:basedOn w:val="a"/>
    <w:link w:val="a6"/>
    <w:rsid w:val="002134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1344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2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2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3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Количества опрошенных респондентов по половому признаку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 респондентов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359</c:v>
                </c:pt>
                <c:pt idx="1">
                  <c:v>365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1E-4C1F-8FDF-526B3670F6B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Женщины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273</c:v>
                </c:pt>
                <c:pt idx="1">
                  <c:v>268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31E-4C1F-8FDF-526B3670F6B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Мужчины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Sheet1!$B$4:$C$4</c:f>
              <c:numCache>
                <c:formatCode>General</c:formatCode>
                <c:ptCount val="2"/>
                <c:pt idx="0">
                  <c:v>86</c:v>
                </c:pt>
                <c:pt idx="1">
                  <c:v>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31E-4C1F-8FDF-526B3670F6BE}"/>
            </c:ext>
          </c:extLst>
        </c:ser>
        <c:gapWidth val="75"/>
        <c:overlap val="-25"/>
        <c:axId val="103357056"/>
        <c:axId val="103367040"/>
      </c:barChart>
      <c:catAx>
        <c:axId val="10335705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03367040"/>
        <c:crosses val="autoZero"/>
        <c:auto val="1"/>
        <c:lblAlgn val="ctr"/>
        <c:lblOffset val="100"/>
        <c:tickLblSkip val="1"/>
        <c:tickMarkSkip val="1"/>
      </c:catAx>
      <c:valAx>
        <c:axId val="1033670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08">
            <a:noFill/>
          </a:ln>
        </c:spPr>
        <c:txPr>
          <a:bodyPr rot="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3357056"/>
        <c:crosses val="autoZero"/>
        <c:crossBetween val="between"/>
      </c:valAx>
    </c:plotArea>
    <c:legend>
      <c:legendPos val="b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Анализ использования населением банковских карт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 за последние 12 месяцев</a:t>
            </a:r>
          </a:p>
        </c:rich>
      </c:tx>
      <c:layout>
        <c:manualLayout>
          <c:xMode val="edge"/>
          <c:yMode val="edge"/>
          <c:x val="0.1791390899155853"/>
          <c:y val="1.3015551192366324E-2"/>
        </c:manualLayout>
      </c:layout>
    </c:title>
    <c:plotArea>
      <c:layout>
        <c:manualLayout>
          <c:layoutTarget val="inner"/>
          <c:xMode val="edge"/>
          <c:yMode val="edge"/>
          <c:x val="0.32127979633348747"/>
          <c:y val="0.19511522373938808"/>
          <c:w val="0.49590972619411167"/>
          <c:h val="0.66203835205703465"/>
        </c:manualLayout>
      </c:layout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Имеется сейчас</c:v>
                </c:pt>
              </c:strCache>
            </c:strRef>
          </c:tx>
          <c:spPr>
            <a:solidFill>
              <a:srgbClr val="FF000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Кредитная карта</c:v>
                </c:pt>
                <c:pt idx="1">
                  <c:v>Другая расчетная (дебетовая) карта</c:v>
                </c:pt>
                <c:pt idx="2">
                  <c:v>Расчетная карта для получения пенсии (социальных выплат)</c:v>
                </c:pt>
                <c:pt idx="3">
                  <c:v>Зарплатная карта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0.34200000000000008</c:v>
                </c:pt>
                <c:pt idx="1">
                  <c:v>0.24100000000000016</c:v>
                </c:pt>
                <c:pt idx="2">
                  <c:v>7.9000000000000084E-2</c:v>
                </c:pt>
                <c:pt idx="3">
                  <c:v>0.67900000000000094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7F6-416E-A0E7-7F1B4866069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имеется сейчас, но использовал за последние 12 мес.</c:v>
                </c:pt>
              </c:strCache>
            </c:strRef>
          </c:tx>
          <c:spPr>
            <a:solidFill>
              <a:srgbClr val="0070C0"/>
            </a:solidFill>
          </c:spPr>
          <c:dLbls>
            <c:dLbl>
              <c:idx val="2"/>
              <c:delete val="1"/>
            </c:dLbl>
            <c:dLbl>
              <c:idx val="3"/>
              <c:delete val="1"/>
            </c:dLbl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Кредитная карта</c:v>
                </c:pt>
                <c:pt idx="1">
                  <c:v>Другая расчетная (дебетовая) карта</c:v>
                </c:pt>
                <c:pt idx="2">
                  <c:v>Расчетная карта для получения пенсии (социальных выплат)</c:v>
                </c:pt>
                <c:pt idx="3">
                  <c:v>Зарплатная карта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0.15400000000000016</c:v>
                </c:pt>
                <c:pt idx="1">
                  <c:v>0.112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использовал за последние 12 мес.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Кредитная карта</c:v>
                </c:pt>
                <c:pt idx="1">
                  <c:v>Другая расчетная (дебетовая) карта</c:v>
                </c:pt>
                <c:pt idx="2">
                  <c:v>Расчетная карта для получения пенсии (социальных выплат)</c:v>
                </c:pt>
                <c:pt idx="3">
                  <c:v>Зарплатная карта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0.504</c:v>
                </c:pt>
                <c:pt idx="1">
                  <c:v>0.6470000000000008</c:v>
                </c:pt>
                <c:pt idx="2">
                  <c:v>0.92100000000000004</c:v>
                </c:pt>
                <c:pt idx="3">
                  <c:v>0.3210000000000004</c:v>
                </c:pt>
              </c:numCache>
            </c:numRef>
          </c:val>
        </c:ser>
        <c:gapWidth val="100"/>
        <c:overlap val="100"/>
        <c:axId val="105099648"/>
        <c:axId val="105089664"/>
      </c:barChart>
      <c:valAx>
        <c:axId val="105089664"/>
        <c:scaling>
          <c:orientation val="minMax"/>
          <c:max val="1"/>
        </c:scaling>
        <c:delete val="1"/>
        <c:axPos val="b"/>
        <c:majorGridlines/>
        <c:numFmt formatCode="0.0%" sourceLinked="1"/>
        <c:tickLblPos val="nextTo"/>
        <c:crossAx val="105099648"/>
        <c:crosses val="autoZero"/>
        <c:crossBetween val="between"/>
      </c:valAx>
      <c:catAx>
        <c:axId val="105099648"/>
        <c:scaling>
          <c:orientation val="minMax"/>
        </c:scaling>
        <c:axPos val="l"/>
        <c:tickLblPos val="nextTo"/>
        <c:txPr>
          <a:bodyPr/>
          <a:lstStyle/>
          <a:p>
            <a:pPr algn="just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5089664"/>
        <c:crosses val="autoZero"/>
        <c:auto val="1"/>
        <c:lblAlgn val="ctr"/>
        <c:lblOffset val="100"/>
      </c:catAx>
    </c:plotArea>
    <c:legend>
      <c:legendPos val="r"/>
      <c:layout>
        <c:manualLayout>
          <c:xMode val="edge"/>
          <c:yMode val="edge"/>
          <c:x val="0.82045007891217314"/>
          <c:y val="0.19909684625056143"/>
          <c:w val="0.16644232960776176"/>
          <c:h val="0.67440696369484865"/>
        </c:manualLayout>
      </c:layout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Мониторинг использования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населением</a:t>
            </a:r>
            <a:r>
              <a:rPr lang="ru-RU" sz="1100">
                <a:latin typeface="Times New Roman" pitchFamily="18" charset="0"/>
                <a:cs typeface="Times New Roman" pitchFamily="18" charset="0"/>
              </a:rPr>
              <a:t> дистанционного доступа </a:t>
            </a:r>
          </a:p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к банковскому счету за последние 12 месяцев</a:t>
            </a:r>
          </a:p>
        </c:rich>
      </c:tx>
      <c:layout/>
    </c:title>
    <c:plotArea>
      <c:layout/>
      <c:barChart>
        <c:barDir val="bar"/>
        <c:grouping val="percentStacked"/>
        <c:ser>
          <c:idx val="1"/>
          <c:order val="1"/>
          <c:tx>
            <c:strRef>
              <c:f>Лист1!$C$1</c:f>
              <c:strCache>
                <c:ptCount val="1"/>
                <c:pt idx="0">
                  <c:v>Не пользовался</c:v>
                </c:pt>
              </c:strCache>
            </c:strRef>
          </c:tx>
          <c:dLbls>
            <c:dLbl>
              <c:idx val="1"/>
              <c:delete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Денежные переводы/платежи через мобильный банк посредством сообщений (отправки смс на короткий номер)</c:v>
                </c:pt>
                <c:pt idx="1">
                  <c:v>Денежные переводы/платежи через мобильный банк с помощью приложения для смартфона/планшета</c:v>
                </c:pt>
                <c:pt idx="2">
                  <c:v>Денежные переводы/платежи через интернет-банк с помощью планшета/смартфона через браузер (без использования специального приложения)</c:v>
                </c:pt>
                <c:pt idx="3">
                  <c:v>Денежные переводы/платежи через интернет-банк с помощью ПК (через браузер)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0.67900000000000094</c:v>
                </c:pt>
                <c:pt idx="1">
                  <c:v>0</c:v>
                </c:pt>
                <c:pt idx="2">
                  <c:v>0.8</c:v>
                </c:pt>
                <c:pt idx="3">
                  <c:v>0.67400000000000093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820-4FC4-AB8A-8F78220541A4}"/>
            </c:ext>
          </c:extLst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Пользовался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Денежные переводы/платежи через мобильный банк посредством сообщений (отправки смс на короткий номер)</c:v>
                </c:pt>
                <c:pt idx="1">
                  <c:v>Денежные переводы/платежи через мобильный банк с помощью приложения для смартфона/планшета</c:v>
                </c:pt>
                <c:pt idx="2">
                  <c:v>Денежные переводы/платежи через интернет-банк с помощью планшета/смартфона через браузер (без использования специального приложения)</c:v>
                </c:pt>
                <c:pt idx="3">
                  <c:v>Денежные переводы/платежи через интернет-банк с помощью ПК (через браузер)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0.3210000000000004</c:v>
                </c:pt>
                <c:pt idx="1">
                  <c:v>1</c:v>
                </c:pt>
                <c:pt idx="2">
                  <c:v>0.2</c:v>
                </c:pt>
                <c:pt idx="3">
                  <c:v>0.3260000000000004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820-4FC4-AB8A-8F78220541A4}"/>
            </c:ext>
          </c:extLst>
        </c:ser>
        <c:gapWidth val="95"/>
        <c:overlap val="100"/>
        <c:axId val="104711680"/>
        <c:axId val="104713216"/>
      </c:barChart>
      <c:catAx>
        <c:axId val="104711680"/>
        <c:scaling>
          <c:orientation val="minMax"/>
        </c:scaling>
        <c:axPos val="l"/>
        <c:numFmt formatCode="General" sourceLinked="0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4713216"/>
        <c:crosses val="autoZero"/>
        <c:auto val="1"/>
        <c:lblAlgn val="ctr"/>
        <c:lblOffset val="100"/>
      </c:catAx>
      <c:valAx>
        <c:axId val="104713216"/>
        <c:scaling>
          <c:orientation val="minMax"/>
        </c:scaling>
        <c:delete val="1"/>
        <c:axPos val="b"/>
        <c:numFmt formatCode="0%" sourceLinked="1"/>
        <c:majorTickMark val="none"/>
        <c:tickLblPos val="nextTo"/>
        <c:crossAx val="104711680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Мониторинг использования населением страховых продуктов (услуг) за последние 12 месяцев</a:t>
            </a:r>
          </a:p>
        </c:rich>
      </c:tx>
      <c:layout/>
    </c:title>
    <c:plotArea>
      <c:layout/>
      <c:barChart>
        <c:barDir val="bar"/>
        <c:grouping val="percentStacked"/>
        <c:ser>
          <c:idx val="1"/>
          <c:order val="1"/>
          <c:tx>
            <c:strRef>
              <c:f>Лист1!$C$1</c:f>
              <c:strCache>
                <c:ptCount val="1"/>
                <c:pt idx="0">
                  <c:v>Не использовал за последние 12 месяцев</c:v>
                </c:pt>
              </c:strCache>
            </c:strRef>
          </c:tx>
          <c:dLbls>
            <c:dLbl>
              <c:idx val="1"/>
              <c:delete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Другое добровольное страхование (кроме обязательного медицинского страхования), в том числе обязательное страхование автогражданской ответственности (ОСАГО)</c:v>
                </c:pt>
                <c:pt idx="1">
                  <c:v>Другое добровольное страхование (кроме страхования жизни), в том числе обязательное медицинское страхование</c:v>
                </c:pt>
                <c:pt idx="2">
                  <c:v>Добровольное страхование жизни на случай смерти/дожития до определенного возраста, в том числе пенсионное страхование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0.46600000000000008</c:v>
                </c:pt>
                <c:pt idx="1">
                  <c:v>0</c:v>
                </c:pt>
                <c:pt idx="2">
                  <c:v>0.3210000000000004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98F-44CB-8CF2-D22E5FCE3790}"/>
            </c:ext>
          </c:extLst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Имеется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Другое добровольное страхование (кроме обязательного медицинского страхования), в том числе обязательное страхование автогражданской ответственности (ОСАГО)</c:v>
                </c:pt>
                <c:pt idx="1">
                  <c:v>Другое добровольное страхование (кроме страхования жизни), в том числе обязательное медицинское страхование</c:v>
                </c:pt>
                <c:pt idx="2">
                  <c:v>Добровольное страхование жизни на случай смерти/дожития до определенного возраста, в том числе пенсионное страхование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0.53400000000000003</c:v>
                </c:pt>
                <c:pt idx="1">
                  <c:v>1</c:v>
                </c:pt>
                <c:pt idx="2">
                  <c:v>0.67900000000000094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98F-44CB-8CF2-D22E5FCE3790}"/>
            </c:ext>
          </c:extLst>
        </c:ser>
        <c:gapWidth val="95"/>
        <c:overlap val="100"/>
        <c:axId val="105349888"/>
        <c:axId val="105351424"/>
      </c:barChart>
      <c:catAx>
        <c:axId val="105349888"/>
        <c:scaling>
          <c:orientation val="minMax"/>
        </c:scaling>
        <c:axPos val="l"/>
        <c:numFmt formatCode="General" sourceLinked="0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5351424"/>
        <c:crosses val="autoZero"/>
        <c:auto val="1"/>
        <c:lblAlgn val="ctr"/>
        <c:lblOffset val="100"/>
      </c:catAx>
      <c:valAx>
        <c:axId val="105351424"/>
        <c:scaling>
          <c:orientation val="minMax"/>
        </c:scaling>
        <c:delete val="1"/>
        <c:axPos val="b"/>
        <c:numFmt formatCode="0%" sourceLinked="1"/>
        <c:majorTickMark val="none"/>
        <c:tickLblPos val="nextTo"/>
        <c:crossAx val="105349888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layout/>
      <c:txPr>
        <a:bodyPr/>
        <a:lstStyle/>
        <a:p>
          <a:pPr rtl="0"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Мониторинг удовлетворенности населения Петровского городского округа  продуктами (услугами) финансовых организаций </a:t>
            </a:r>
          </a:p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при их оформлении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3412303990847298"/>
          <c:y val="0.10040863981319315"/>
          <c:w val="0.45630796150481301"/>
          <c:h val="0.8237457883438849"/>
        </c:manualLayout>
      </c:layout>
      <c:barChart>
        <c:barDir val="bar"/>
        <c:grouping val="clustered"/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Удовлетворен/ скорее удовлетворен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Лист1!$A$2:$A$15</c:f>
              <c:strCache>
                <c:ptCount val="14"/>
                <c:pt idx="0">
                  <c:v>Кредиты</c:v>
                </c:pt>
                <c:pt idx="1">
                  <c:v>Вклады</c:v>
                </c:pt>
                <c:pt idx="2">
                  <c:v>Расчетные (дебетовые) карты</c:v>
                </c:pt>
                <c:pt idx="3">
                  <c:v>Кредитные карты</c:v>
                </c:pt>
                <c:pt idx="4">
                  <c:v>Переводы/платежи</c:v>
                </c:pt>
                <c:pt idx="5">
                  <c:v>Займы в ломбардах</c:v>
                </c:pt>
                <c:pt idx="6">
                  <c:v>Добровольное страхование жизни</c:v>
                </c:pt>
                <c:pt idx="7">
                  <c:v>Другое добровольное страхование</c:v>
                </c:pt>
                <c:pt idx="8">
                  <c:v>Медицинское страхование</c:v>
                </c:pt>
                <c:pt idx="9">
                  <c:v>Пенсионное страхование</c:v>
                </c:pt>
                <c:pt idx="10">
                  <c:v>Негосударственное пенсионное страхование</c:v>
                </c:pt>
                <c:pt idx="11">
                  <c:v>Займы в микрофинансовых организациях</c:v>
                </c:pt>
                <c:pt idx="12">
                  <c:v>Займы в кредитных потребительских кооперативах</c:v>
                </c:pt>
                <c:pt idx="13">
                  <c:v>Займы в С/Х кредитных потебительских кооперативах</c:v>
                </c:pt>
              </c:strCache>
            </c:strRef>
          </c:cat>
          <c:val>
            <c:numRef>
              <c:f>Лист1!$C$2:$C$15</c:f>
              <c:numCache>
                <c:formatCode>0.0%</c:formatCode>
                <c:ptCount val="14"/>
                <c:pt idx="0">
                  <c:v>0.19500000000000001</c:v>
                </c:pt>
                <c:pt idx="1">
                  <c:v>0.49900000000000022</c:v>
                </c:pt>
                <c:pt idx="2">
                  <c:v>1</c:v>
                </c:pt>
                <c:pt idx="3">
                  <c:v>0.10400000000000002</c:v>
                </c:pt>
                <c:pt idx="4">
                  <c:v>1</c:v>
                </c:pt>
                <c:pt idx="5">
                  <c:v>8.0000000000000088E-3</c:v>
                </c:pt>
                <c:pt idx="6">
                  <c:v>0.15100000000000011</c:v>
                </c:pt>
                <c:pt idx="7">
                  <c:v>0.4110000000000002</c:v>
                </c:pt>
                <c:pt idx="8">
                  <c:v>0.4710000000000002</c:v>
                </c:pt>
                <c:pt idx="9">
                  <c:v>0.69299999999999995</c:v>
                </c:pt>
                <c:pt idx="10">
                  <c:v>0.6630000000000007</c:v>
                </c:pt>
                <c:pt idx="11">
                  <c:v>4.9000000000000037E-2</c:v>
                </c:pt>
                <c:pt idx="12">
                  <c:v>4.3999999999999997E-2</c:v>
                </c:pt>
                <c:pt idx="13">
                  <c:v>4.3999999999999997E-2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D61-44FF-9B63-1DB56130DD59}"/>
            </c:ext>
          </c:extLst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Не удовлетворен/ скорее не удовлетворен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Лист1!$A$2:$A$15</c:f>
              <c:strCache>
                <c:ptCount val="14"/>
                <c:pt idx="0">
                  <c:v>Кредиты</c:v>
                </c:pt>
                <c:pt idx="1">
                  <c:v>Вклады</c:v>
                </c:pt>
                <c:pt idx="2">
                  <c:v>Расчетные (дебетовые) карты</c:v>
                </c:pt>
                <c:pt idx="3">
                  <c:v>Кредитные карты</c:v>
                </c:pt>
                <c:pt idx="4">
                  <c:v>Переводы/платежи</c:v>
                </c:pt>
                <c:pt idx="5">
                  <c:v>Займы в ломбардах</c:v>
                </c:pt>
                <c:pt idx="6">
                  <c:v>Добровольное страхование жизни</c:v>
                </c:pt>
                <c:pt idx="7">
                  <c:v>Другое добровольное страхование</c:v>
                </c:pt>
                <c:pt idx="8">
                  <c:v>Медицинское страхование</c:v>
                </c:pt>
                <c:pt idx="9">
                  <c:v>Пенсионное страхование</c:v>
                </c:pt>
                <c:pt idx="10">
                  <c:v>Негосударственное пенсионное страхование</c:v>
                </c:pt>
                <c:pt idx="11">
                  <c:v>Займы в микрофинансовых организациях</c:v>
                </c:pt>
                <c:pt idx="12">
                  <c:v>Займы в кредитных потребительских кооперативах</c:v>
                </c:pt>
                <c:pt idx="13">
                  <c:v>Займы в С/Х кредитных потебительских кооперативах</c:v>
                </c:pt>
              </c:strCache>
            </c:strRef>
          </c:cat>
          <c:val>
            <c:numRef>
              <c:f>Лист1!$B$2:$B$15</c:f>
              <c:numCache>
                <c:formatCode>0.0%</c:formatCode>
                <c:ptCount val="14"/>
                <c:pt idx="0">
                  <c:v>0.34500000000000008</c:v>
                </c:pt>
                <c:pt idx="1">
                  <c:v>7.0999999999999994E-2</c:v>
                </c:pt>
                <c:pt idx="2">
                  <c:v>0</c:v>
                </c:pt>
                <c:pt idx="3">
                  <c:v>3.0000000000000002E-2</c:v>
                </c:pt>
                <c:pt idx="4">
                  <c:v>0</c:v>
                </c:pt>
                <c:pt idx="5">
                  <c:v>6.0000000000000036E-3</c:v>
                </c:pt>
                <c:pt idx="6">
                  <c:v>5.1999999999999998E-2</c:v>
                </c:pt>
                <c:pt idx="7">
                  <c:v>0.12200000000000005</c:v>
                </c:pt>
                <c:pt idx="8">
                  <c:v>0.52900000000000003</c:v>
                </c:pt>
                <c:pt idx="9">
                  <c:v>0.30700000000000022</c:v>
                </c:pt>
                <c:pt idx="10">
                  <c:v>0.33700000000000035</c:v>
                </c:pt>
                <c:pt idx="11">
                  <c:v>2.8000000000000001E-2</c:v>
                </c:pt>
                <c:pt idx="12">
                  <c:v>1.9000000000000013E-2</c:v>
                </c:pt>
                <c:pt idx="13">
                  <c:v>2.1999999999999999E-2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D61-44FF-9B63-1DB56130DD5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сталкивался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Лист1!$A$2:$A$15</c:f>
              <c:strCache>
                <c:ptCount val="14"/>
                <c:pt idx="0">
                  <c:v>Кредиты</c:v>
                </c:pt>
                <c:pt idx="1">
                  <c:v>Вклады</c:v>
                </c:pt>
                <c:pt idx="2">
                  <c:v>Расчетные (дебетовые) карты</c:v>
                </c:pt>
                <c:pt idx="3">
                  <c:v>Кредитные карты</c:v>
                </c:pt>
                <c:pt idx="4">
                  <c:v>Переводы/платежи</c:v>
                </c:pt>
                <c:pt idx="5">
                  <c:v>Займы в ломбардах</c:v>
                </c:pt>
                <c:pt idx="6">
                  <c:v>Добровольное страхование жизни</c:v>
                </c:pt>
                <c:pt idx="7">
                  <c:v>Другое добровольное страхование</c:v>
                </c:pt>
                <c:pt idx="8">
                  <c:v>Медицинское страхование</c:v>
                </c:pt>
                <c:pt idx="9">
                  <c:v>Пенсионное страхование</c:v>
                </c:pt>
                <c:pt idx="10">
                  <c:v>Негосударственное пенсионное страхование</c:v>
                </c:pt>
                <c:pt idx="11">
                  <c:v>Займы в микрофинансовых организациях</c:v>
                </c:pt>
                <c:pt idx="12">
                  <c:v>Займы в кредитных потребительских кооперативах</c:v>
                </c:pt>
                <c:pt idx="13">
                  <c:v>Займы в С/Х кредитных потебительских кооперативах</c:v>
                </c:pt>
              </c:strCache>
            </c:strRef>
          </c:cat>
          <c:val>
            <c:numRef>
              <c:f>Лист1!$D$2:$D$15</c:f>
              <c:numCache>
                <c:formatCode>0.0%</c:formatCode>
                <c:ptCount val="14"/>
                <c:pt idx="0">
                  <c:v>0.46</c:v>
                </c:pt>
                <c:pt idx="1">
                  <c:v>0.43000000000000022</c:v>
                </c:pt>
                <c:pt idx="2">
                  <c:v>0</c:v>
                </c:pt>
                <c:pt idx="3">
                  <c:v>0.86600000000000044</c:v>
                </c:pt>
                <c:pt idx="4">
                  <c:v>0</c:v>
                </c:pt>
                <c:pt idx="5">
                  <c:v>0.98599999999999999</c:v>
                </c:pt>
                <c:pt idx="6">
                  <c:v>0.79700000000000004</c:v>
                </c:pt>
                <c:pt idx="7">
                  <c:v>0.46700000000000008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0.92300000000000004</c:v>
                </c:pt>
                <c:pt idx="12">
                  <c:v>0.9370000000000005</c:v>
                </c:pt>
                <c:pt idx="13">
                  <c:v>0.93400000000000005</c:v>
                </c:pt>
              </c:numCache>
            </c:numRef>
          </c:val>
        </c:ser>
        <c:axId val="106533632"/>
        <c:axId val="106535168"/>
      </c:barChart>
      <c:catAx>
        <c:axId val="106533632"/>
        <c:scaling>
          <c:orientation val="minMax"/>
        </c:scaling>
        <c:axPos val="l"/>
        <c:numFmt formatCode="General" sourceLinked="0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6535168"/>
        <c:crosses val="autoZero"/>
        <c:auto val="1"/>
        <c:lblAlgn val="ctr"/>
        <c:lblOffset val="100"/>
      </c:catAx>
      <c:valAx>
        <c:axId val="106535168"/>
        <c:scaling>
          <c:orientation val="minMax"/>
          <c:max val="1"/>
        </c:scaling>
        <c:axPos val="b"/>
        <c:majorGridlines/>
        <c:numFmt formatCode="0.0%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6533632"/>
        <c:crosses val="autoZero"/>
        <c:crossBetween val="between"/>
        <c:majorUnit val="0.5"/>
      </c:valAx>
    </c:plotArea>
    <c:legend>
      <c:legendPos val="r"/>
      <c:layout>
        <c:manualLayout>
          <c:xMode val="edge"/>
          <c:yMode val="edge"/>
          <c:x val="0.80072750521569425"/>
          <c:y val="0.23321942900745149"/>
          <c:w val="0.18645198196379334"/>
          <c:h val="0.40980147183878785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Количества опрошенных  субъектов МСП с учетом их сферы деятельности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000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Работающий</c:v>
                </c:pt>
                <c:pt idx="1">
                  <c:v>Безработный</c:v>
                </c:pt>
                <c:pt idx="2">
                  <c:v>Временно неработающий</c:v>
                </c:pt>
                <c:pt idx="3">
                  <c:v>Учащийся/студент</c:v>
                </c:pt>
                <c:pt idx="4">
                  <c:v>Домохозяйка</c:v>
                </c:pt>
                <c:pt idx="5">
                  <c:v>Самозанятый</c:v>
                </c:pt>
                <c:pt idx="6">
                  <c:v>Пенсионер</c:v>
                </c:pt>
                <c:pt idx="7">
                  <c:v>Предприниматель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0.67900000000000105</c:v>
                </c:pt>
                <c:pt idx="1">
                  <c:v>0</c:v>
                </c:pt>
                <c:pt idx="2">
                  <c:v>0</c:v>
                </c:pt>
                <c:pt idx="3">
                  <c:v>5.8000000000000003E-2</c:v>
                </c:pt>
                <c:pt idx="4">
                  <c:v>8.000000000000014E-3</c:v>
                </c:pt>
                <c:pt idx="5">
                  <c:v>8.000000000000014E-3</c:v>
                </c:pt>
                <c:pt idx="6">
                  <c:v>1.4E-2</c:v>
                </c:pt>
                <c:pt idx="7">
                  <c:v>0.23300000000000001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1EA-4222-8F48-33C000480FC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70C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Работающий</c:v>
                </c:pt>
                <c:pt idx="1">
                  <c:v>Безработный</c:v>
                </c:pt>
                <c:pt idx="2">
                  <c:v>Временно неработающий</c:v>
                </c:pt>
                <c:pt idx="3">
                  <c:v>Учащийся/студент</c:v>
                </c:pt>
                <c:pt idx="4">
                  <c:v>Домохозяйка</c:v>
                </c:pt>
                <c:pt idx="5">
                  <c:v>Самозанятый</c:v>
                </c:pt>
                <c:pt idx="6">
                  <c:v>Пенсионер</c:v>
                </c:pt>
                <c:pt idx="7">
                  <c:v>Предприниматель</c:v>
                </c:pt>
              </c:strCache>
            </c:strRef>
          </c:cat>
          <c:val>
            <c:numRef>
              <c:f>Лист1!$C$2:$C$9</c:f>
              <c:numCache>
                <c:formatCode>0.0%</c:formatCode>
                <c:ptCount val="8"/>
                <c:pt idx="0">
                  <c:v>0.70800000000000063</c:v>
                </c:pt>
                <c:pt idx="1">
                  <c:v>0.11700000000000002</c:v>
                </c:pt>
                <c:pt idx="2">
                  <c:v>5.6000000000000001E-2</c:v>
                </c:pt>
                <c:pt idx="3">
                  <c:v>7.0000000000000021E-2</c:v>
                </c:pt>
                <c:pt idx="4">
                  <c:v>0</c:v>
                </c:pt>
                <c:pt idx="5">
                  <c:v>2.1999999999999999E-2</c:v>
                </c:pt>
                <c:pt idx="6">
                  <c:v>2.7000000000000034E-2</c:v>
                </c:pt>
                <c:pt idx="7">
                  <c:v>0.23400000000000001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1EA-4222-8F48-33C000480FCF}"/>
            </c:ext>
          </c:extLst>
        </c:ser>
        <c:dLbls>
          <c:showVal val="1"/>
        </c:dLbls>
        <c:overlap val="-25"/>
        <c:axId val="96450816"/>
        <c:axId val="103399424"/>
      </c:barChart>
      <c:catAx>
        <c:axId val="96450816"/>
        <c:scaling>
          <c:orientation val="minMax"/>
        </c:scaling>
        <c:axPos val="l"/>
        <c:numFmt formatCode="General" sourceLinked="0"/>
        <c:majorTickMark val="none"/>
        <c:tickLblPos val="nextTo"/>
        <c:crossAx val="103399424"/>
        <c:crosses val="autoZero"/>
        <c:auto val="1"/>
        <c:lblAlgn val="ctr"/>
        <c:lblOffset val="100"/>
      </c:catAx>
      <c:valAx>
        <c:axId val="103399424"/>
        <c:scaling>
          <c:orientation val="minMax"/>
        </c:scaling>
        <c:delete val="1"/>
        <c:axPos val="b"/>
        <c:numFmt formatCode="0.0%" sourceLinked="1"/>
        <c:majorTickMark val="none"/>
        <c:tickLblPos val="nextTo"/>
        <c:crossAx val="96450816"/>
        <c:crosses val="autoZero"/>
        <c:crossBetween val="between"/>
      </c:valAx>
    </c:plotArea>
    <c:legend>
      <c:legendPos val="t"/>
      <c:layout/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 b="1" i="0" u="none" strike="noStrike" baseline="0">
                <a:latin typeface="Times New Roman" pitchFamily="18" charset="0"/>
                <a:cs typeface="Times New Roman" pitchFamily="18" charset="0"/>
              </a:rPr>
              <a:t>Количества опрошенных респондентов с учетом их образования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rgbClr val="FF0000"/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0.71500000000000041</c:v>
                </c:pt>
                <c:pt idx="1">
                  <c:v>0.42000000000000021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специальное</c:v>
                </c:pt>
              </c:strCache>
            </c:strRef>
          </c:tx>
          <c:spPr>
            <a:solidFill>
              <a:srgbClr val="FFFF00"/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Лист1!$C$2:$C$3</c:f>
              <c:numCache>
                <c:formatCode>0.0%</c:formatCode>
                <c:ptCount val="2"/>
                <c:pt idx="0">
                  <c:v>0.22700000000000001</c:v>
                </c:pt>
                <c:pt idx="1">
                  <c:v>0.4180000000000002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Общее среднее</c:v>
                </c:pt>
              </c:strCache>
            </c:strRef>
          </c:tx>
          <c:spPr>
            <a:solidFill>
              <a:srgbClr val="92D050"/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Лист1!$D$2:$D$3</c:f>
              <c:numCache>
                <c:formatCode>0.0%</c:formatCode>
                <c:ptCount val="2"/>
                <c:pt idx="0">
                  <c:v>5.8000000000000003E-2</c:v>
                </c:pt>
                <c:pt idx="1">
                  <c:v>0.16200000000000001</c:v>
                </c:pt>
              </c:numCache>
            </c:numRef>
          </c:val>
        </c:ser>
        <c:gapWidth val="75"/>
        <c:overlap val="100"/>
        <c:axId val="96462720"/>
        <c:axId val="96464256"/>
      </c:barChart>
      <c:catAx>
        <c:axId val="96462720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6464256"/>
        <c:crosses val="autoZero"/>
        <c:auto val="1"/>
        <c:lblAlgn val="ctr"/>
        <c:lblOffset val="100"/>
      </c:catAx>
      <c:valAx>
        <c:axId val="96464256"/>
        <c:scaling>
          <c:orientation val="minMax"/>
          <c:max val="1"/>
        </c:scaling>
        <c:axPos val="b"/>
        <c:majorGridlines/>
        <c:numFmt formatCode="0.0%" sourceLinked="1"/>
        <c:majorTickMark val="none"/>
        <c:tickLblPos val="nextTo"/>
        <c:spPr>
          <a:ln w="9525">
            <a:noFill/>
          </a:ln>
        </c:spPr>
        <c:crossAx val="96462720"/>
        <c:crosses val="autoZero"/>
        <c:crossBetween val="between"/>
      </c:valAx>
    </c:plotArea>
    <c:legend>
      <c:legendPos val="b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 b="1" i="0" baseline="0">
                <a:latin typeface="Times New Roman" pitchFamily="18" charset="0"/>
                <a:cs typeface="Times New Roman" pitchFamily="18" charset="0"/>
              </a:rPr>
              <a:t>Динамика количества опрошенных  субъектов МСП </a:t>
            </a:r>
          </a:p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 b="1" i="0" baseline="0">
                <a:latin typeface="Times New Roman" pitchFamily="18" charset="0"/>
                <a:cs typeface="Times New Roman" pitchFamily="18" charset="0"/>
              </a:rPr>
              <a:t>с учетом их сферы деятельности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Лист1!$A$2:$A$17</c:f>
              <c:strCache>
                <c:ptCount val="16"/>
                <c:pt idx="0">
                  <c:v>Иное</c:v>
                </c:pt>
                <c:pt idx="1">
                  <c:v>Услуги дополнительного образования</c:v>
                </c:pt>
                <c:pt idx="2">
                  <c:v>Медицинские услуги</c:v>
                </c:pt>
                <c:pt idx="3">
                  <c:v>Торговля лекарственными препаратами</c:v>
                </c:pt>
                <c:pt idx="4">
                  <c:v>Услуги по текущему ремонту в многоквартирном доме</c:v>
                </c:pt>
                <c:pt idx="5">
                  <c:v>Услуги легкового такси</c:v>
                </c:pt>
                <c:pt idx="6">
                  <c:v>Услуги по ремонту автотранспорта</c:v>
                </c:pt>
                <c:pt idx="7">
                  <c:v>Услуги связи</c:v>
                </c:pt>
                <c:pt idx="8">
                  <c:v>Жилищное строительство</c:v>
                </c:pt>
                <c:pt idx="9">
                  <c:v>Реализация С/Х продукции</c:v>
                </c:pt>
                <c:pt idx="10">
                  <c:v>Племенное животноводство</c:v>
                </c:pt>
                <c:pt idx="11">
                  <c:v>Рынок нефтепродуктов</c:v>
                </c:pt>
                <c:pt idx="12">
                  <c:v>Рынок легкой промышленности</c:v>
                </c:pt>
                <c:pt idx="13">
                  <c:v>Рынок обработки древесины</c:v>
                </c:pt>
                <c:pt idx="14">
                  <c:v>Сфера наружной рекламы</c:v>
                </c:pt>
                <c:pt idx="15">
                  <c:v>Туристические услуги</c:v>
                </c:pt>
              </c:strCache>
            </c:strRef>
          </c:cat>
          <c:val>
            <c:numRef>
              <c:f>Лист1!$B$2:$B$17</c:f>
              <c:numCache>
                <c:formatCode>0.0%</c:formatCode>
                <c:ptCount val="16"/>
                <c:pt idx="0">
                  <c:v>0.31800000000000039</c:v>
                </c:pt>
                <c:pt idx="1">
                  <c:v>3.4000000000000002E-2</c:v>
                </c:pt>
                <c:pt idx="2">
                  <c:v>3.4000000000000002E-2</c:v>
                </c:pt>
                <c:pt idx="3">
                  <c:v>2.3E-2</c:v>
                </c:pt>
                <c:pt idx="4">
                  <c:v>1.0999999999999998E-2</c:v>
                </c:pt>
                <c:pt idx="5">
                  <c:v>0.10199999999999998</c:v>
                </c:pt>
                <c:pt idx="6">
                  <c:v>0.10199999999999998</c:v>
                </c:pt>
                <c:pt idx="7">
                  <c:v>1.0999999999999998E-2</c:v>
                </c:pt>
                <c:pt idx="8">
                  <c:v>2.3E-2</c:v>
                </c:pt>
                <c:pt idx="9">
                  <c:v>9.1000000000000025E-2</c:v>
                </c:pt>
                <c:pt idx="10">
                  <c:v>1.0999999999999998E-2</c:v>
                </c:pt>
                <c:pt idx="11">
                  <c:v>3.4000000000000002E-2</c:v>
                </c:pt>
                <c:pt idx="12">
                  <c:v>2.3E-2</c:v>
                </c:pt>
                <c:pt idx="13">
                  <c:v>4.5000000000000012E-2</c:v>
                </c:pt>
                <c:pt idx="14">
                  <c:v>6.8000000000000019E-2</c:v>
                </c:pt>
                <c:pt idx="15">
                  <c:v>6.8000000000000019E-2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33D-4B6F-88CE-F44A3C01AEB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Лист1!$A$2:$A$17</c:f>
              <c:strCache>
                <c:ptCount val="16"/>
                <c:pt idx="0">
                  <c:v>Иное</c:v>
                </c:pt>
                <c:pt idx="1">
                  <c:v>Услуги дополнительного образования</c:v>
                </c:pt>
                <c:pt idx="2">
                  <c:v>Медицинские услуги</c:v>
                </c:pt>
                <c:pt idx="3">
                  <c:v>Торговля лекарственными препаратами</c:v>
                </c:pt>
                <c:pt idx="4">
                  <c:v>Услуги по текущему ремонту в многоквартирном доме</c:v>
                </c:pt>
                <c:pt idx="5">
                  <c:v>Услуги легкового такси</c:v>
                </c:pt>
                <c:pt idx="6">
                  <c:v>Услуги по ремонту автотранспорта</c:v>
                </c:pt>
                <c:pt idx="7">
                  <c:v>Услуги связи</c:v>
                </c:pt>
                <c:pt idx="8">
                  <c:v>Жилищное строительство</c:v>
                </c:pt>
                <c:pt idx="9">
                  <c:v>Реализация С/Х продукции</c:v>
                </c:pt>
                <c:pt idx="10">
                  <c:v>Племенное животноводство</c:v>
                </c:pt>
                <c:pt idx="11">
                  <c:v>Рынок нефтепродуктов</c:v>
                </c:pt>
                <c:pt idx="12">
                  <c:v>Рынок легкой промышленности</c:v>
                </c:pt>
                <c:pt idx="13">
                  <c:v>Рынок обработки древесины</c:v>
                </c:pt>
                <c:pt idx="14">
                  <c:v>Сфера наружной рекламы</c:v>
                </c:pt>
                <c:pt idx="15">
                  <c:v>Туристические услуги</c:v>
                </c:pt>
              </c:strCache>
            </c:strRef>
          </c:cat>
          <c:val>
            <c:numRef>
              <c:f>Лист1!$C$2:$C$17</c:f>
              <c:numCache>
                <c:formatCode>0.0%</c:formatCode>
                <c:ptCount val="16"/>
                <c:pt idx="0">
                  <c:v>0.44</c:v>
                </c:pt>
                <c:pt idx="1">
                  <c:v>0</c:v>
                </c:pt>
                <c:pt idx="2">
                  <c:v>0</c:v>
                </c:pt>
                <c:pt idx="3">
                  <c:v>1.2E-2</c:v>
                </c:pt>
                <c:pt idx="4">
                  <c:v>0</c:v>
                </c:pt>
                <c:pt idx="5">
                  <c:v>2.4E-2</c:v>
                </c:pt>
                <c:pt idx="6">
                  <c:v>0</c:v>
                </c:pt>
                <c:pt idx="7">
                  <c:v>1.2E-2</c:v>
                </c:pt>
                <c:pt idx="8">
                  <c:v>0</c:v>
                </c:pt>
                <c:pt idx="9">
                  <c:v>0.45200000000000001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3.5999999999999997E-2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33D-4B6F-88CE-F44A3C01AEB7}"/>
            </c:ext>
          </c:extLst>
        </c:ser>
        <c:dLbls>
          <c:showVal val="1"/>
        </c:dLbls>
        <c:overlap val="-25"/>
        <c:axId val="104527744"/>
        <c:axId val="104529280"/>
      </c:barChart>
      <c:catAx>
        <c:axId val="104527744"/>
        <c:scaling>
          <c:orientation val="minMax"/>
        </c:scaling>
        <c:axPos val="l"/>
        <c:numFmt formatCode="General" sourceLinked="0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4529280"/>
        <c:crosses val="autoZero"/>
        <c:auto val="1"/>
        <c:lblAlgn val="ctr"/>
        <c:lblOffset val="100"/>
      </c:catAx>
      <c:valAx>
        <c:axId val="104529280"/>
        <c:scaling>
          <c:orientation val="minMax"/>
        </c:scaling>
        <c:delete val="1"/>
        <c:axPos val="b"/>
        <c:numFmt formatCode="0.0%" sourceLinked="1"/>
        <c:majorTickMark val="none"/>
        <c:tickLblPos val="nextTo"/>
        <c:crossAx val="104527744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 b="1" i="0" baseline="0">
                <a:latin typeface="Times New Roman" pitchFamily="18" charset="0"/>
                <a:cs typeface="Times New Roman" pitchFamily="18" charset="0"/>
              </a:rPr>
              <a:t>Динамика количества конкурентов </a:t>
            </a:r>
          </a:p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 b="1" i="0" baseline="0">
                <a:latin typeface="Times New Roman" pitchFamily="18" charset="0"/>
                <a:cs typeface="Times New Roman" pitchFamily="18" charset="0"/>
              </a:rPr>
              <a:t>предлагающих аналогичную продукцию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000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большое количество конкурентов</c:v>
                </c:pt>
                <c:pt idx="1">
                  <c:v>4 и более конкурентов</c:v>
                </c:pt>
                <c:pt idx="2">
                  <c:v>от 1 до 3 конкурентов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0.5</c:v>
                </c:pt>
                <c:pt idx="1">
                  <c:v>0.27300000000000002</c:v>
                </c:pt>
                <c:pt idx="2">
                  <c:v>0.22700000000000001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89F-4C07-A77E-6956F9B2492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70C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большое количество конкурентов</c:v>
                </c:pt>
                <c:pt idx="1">
                  <c:v>4 и более конкурентов</c:v>
                </c:pt>
                <c:pt idx="2">
                  <c:v>от 1 до 3 конкурентов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0.48800000000000032</c:v>
                </c:pt>
                <c:pt idx="1">
                  <c:v>0.25</c:v>
                </c:pt>
                <c:pt idx="2">
                  <c:v>0.22600000000000001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89F-4C07-A77E-6956F9B24920}"/>
            </c:ext>
          </c:extLst>
        </c:ser>
        <c:dLbls>
          <c:showVal val="1"/>
        </c:dLbls>
        <c:overlap val="-25"/>
        <c:axId val="104915712"/>
        <c:axId val="104917248"/>
      </c:barChart>
      <c:catAx>
        <c:axId val="104915712"/>
        <c:scaling>
          <c:orientation val="minMax"/>
        </c:scaling>
        <c:axPos val="l"/>
        <c:numFmt formatCode="General" sourceLinked="0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4917248"/>
        <c:crosses val="autoZero"/>
        <c:auto val="1"/>
        <c:lblAlgn val="ctr"/>
        <c:lblOffset val="100"/>
      </c:catAx>
      <c:valAx>
        <c:axId val="104917248"/>
        <c:scaling>
          <c:orientation val="minMax"/>
        </c:scaling>
        <c:delete val="1"/>
        <c:axPos val="b"/>
        <c:numFmt formatCode="0.0%" sourceLinked="1"/>
        <c:majorTickMark val="none"/>
        <c:tickLblPos val="nextTo"/>
        <c:crossAx val="104915712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Динамика удовлетворенности видами оказываемых услуг субъектами естественных монополий</a:t>
            </a:r>
          </a:p>
        </c:rich>
      </c:tx>
      <c:layout/>
    </c:title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Сроки подключения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Водоснабжение (2019)</c:v>
                </c:pt>
                <c:pt idx="1">
                  <c:v>Водоснабжение (2020)</c:v>
                </c:pt>
                <c:pt idx="2">
                  <c:v>Водоотчистка</c:v>
                </c:pt>
                <c:pt idx="3">
                  <c:v>Газоснабжение (2019)</c:v>
                </c:pt>
                <c:pt idx="4">
                  <c:v>Газоснабжение (2020)</c:v>
                </c:pt>
                <c:pt idx="5">
                  <c:v>Электроснабжение (2019)</c:v>
                </c:pt>
                <c:pt idx="6">
                  <c:v>Электроснабжение (2020)</c:v>
                </c:pt>
                <c:pt idx="7">
                  <c:v>Теплоснабжение (2019)</c:v>
                </c:pt>
                <c:pt idx="8">
                  <c:v>Теплоснабжение (2020)</c:v>
                </c:pt>
                <c:pt idx="9">
                  <c:v>Связь и "Интернет" (2019)</c:v>
                </c:pt>
                <c:pt idx="10">
                  <c:v>Связь и "Интернет" (2020)</c:v>
                </c:pt>
              </c:strCache>
            </c:strRef>
          </c:cat>
          <c:val>
            <c:numRef>
              <c:f>Лист1!$B$2:$B$12</c:f>
              <c:numCache>
                <c:formatCode>0.0%</c:formatCode>
                <c:ptCount val="11"/>
                <c:pt idx="0">
                  <c:v>0.36900000000000038</c:v>
                </c:pt>
                <c:pt idx="1">
                  <c:v>0.37500000000000033</c:v>
                </c:pt>
                <c:pt idx="2">
                  <c:v>0.45500000000000002</c:v>
                </c:pt>
                <c:pt idx="3">
                  <c:v>0.46400000000000002</c:v>
                </c:pt>
                <c:pt idx="4">
                  <c:v>0.45400000000000001</c:v>
                </c:pt>
                <c:pt idx="5">
                  <c:v>0.53600000000000003</c:v>
                </c:pt>
                <c:pt idx="6">
                  <c:v>0.51100000000000001</c:v>
                </c:pt>
                <c:pt idx="7">
                  <c:v>0.44</c:v>
                </c:pt>
                <c:pt idx="8">
                  <c:v>0.45400000000000001</c:v>
                </c:pt>
                <c:pt idx="9">
                  <c:v>0.82099999999999995</c:v>
                </c:pt>
                <c:pt idx="10">
                  <c:v>0.85200000000000065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703-448E-8131-E4831940EB2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Сложность процедур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Водоснабжение (2019)</c:v>
                </c:pt>
                <c:pt idx="1">
                  <c:v>Водоснабжение (2020)</c:v>
                </c:pt>
                <c:pt idx="2">
                  <c:v>Водоотчистка</c:v>
                </c:pt>
                <c:pt idx="3">
                  <c:v>Газоснабжение (2019)</c:v>
                </c:pt>
                <c:pt idx="4">
                  <c:v>Газоснабжение (2020)</c:v>
                </c:pt>
                <c:pt idx="5">
                  <c:v>Электроснабжение (2019)</c:v>
                </c:pt>
                <c:pt idx="6">
                  <c:v>Электроснабжение (2020)</c:v>
                </c:pt>
                <c:pt idx="7">
                  <c:v>Теплоснабжение (2019)</c:v>
                </c:pt>
                <c:pt idx="8">
                  <c:v>Теплоснабжение (2020)</c:v>
                </c:pt>
                <c:pt idx="9">
                  <c:v>Связь и "Интернет" (2019)</c:v>
                </c:pt>
                <c:pt idx="10">
                  <c:v>Связь и "Интернет" (2020)</c:v>
                </c:pt>
              </c:strCache>
            </c:strRef>
          </c:cat>
          <c:val>
            <c:numRef>
              <c:f>Лист1!$C$2:$C$12</c:f>
              <c:numCache>
                <c:formatCode>0.0%</c:formatCode>
                <c:ptCount val="11"/>
                <c:pt idx="0">
                  <c:v>0.36900000000000038</c:v>
                </c:pt>
                <c:pt idx="1">
                  <c:v>0.37500000000000033</c:v>
                </c:pt>
                <c:pt idx="2">
                  <c:v>0.56799999999999995</c:v>
                </c:pt>
                <c:pt idx="3">
                  <c:v>0.46400000000000002</c:v>
                </c:pt>
                <c:pt idx="4">
                  <c:v>0.47700000000000031</c:v>
                </c:pt>
                <c:pt idx="5">
                  <c:v>0.53600000000000003</c:v>
                </c:pt>
                <c:pt idx="6">
                  <c:v>0.54500000000000004</c:v>
                </c:pt>
                <c:pt idx="7">
                  <c:v>0.44</c:v>
                </c:pt>
                <c:pt idx="8">
                  <c:v>0.45400000000000001</c:v>
                </c:pt>
                <c:pt idx="9">
                  <c:v>0.80900000000000005</c:v>
                </c:pt>
                <c:pt idx="10">
                  <c:v>0.81799999999999995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703-448E-8131-E4831940EB2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Стоимость подключения</c:v>
                </c:pt>
              </c:strCache>
            </c:strRef>
          </c:tx>
          <c:spPr>
            <a:solidFill>
              <a:srgbClr val="FFFF0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Водоснабжение (2019)</c:v>
                </c:pt>
                <c:pt idx="1">
                  <c:v>Водоснабжение (2020)</c:v>
                </c:pt>
                <c:pt idx="2">
                  <c:v>Водоотчистка</c:v>
                </c:pt>
                <c:pt idx="3">
                  <c:v>Газоснабжение (2019)</c:v>
                </c:pt>
                <c:pt idx="4">
                  <c:v>Газоснабжение (2020)</c:v>
                </c:pt>
                <c:pt idx="5">
                  <c:v>Электроснабжение (2019)</c:v>
                </c:pt>
                <c:pt idx="6">
                  <c:v>Электроснабжение (2020)</c:v>
                </c:pt>
                <c:pt idx="7">
                  <c:v>Теплоснабжение (2019)</c:v>
                </c:pt>
                <c:pt idx="8">
                  <c:v>Теплоснабжение (2020)</c:v>
                </c:pt>
                <c:pt idx="9">
                  <c:v>Связь и "Интернет" (2019)</c:v>
                </c:pt>
                <c:pt idx="10">
                  <c:v>Связь и "Интернет" (2020)</c:v>
                </c:pt>
              </c:strCache>
            </c:strRef>
          </c:cat>
          <c:val>
            <c:numRef>
              <c:f>Лист1!$D$2:$D$12</c:f>
              <c:numCache>
                <c:formatCode>0.0%</c:formatCode>
                <c:ptCount val="11"/>
                <c:pt idx="0">
                  <c:v>0.36900000000000038</c:v>
                </c:pt>
                <c:pt idx="1">
                  <c:v>0.36400000000000032</c:v>
                </c:pt>
                <c:pt idx="2">
                  <c:v>0.36400000000000032</c:v>
                </c:pt>
                <c:pt idx="3">
                  <c:v>0.46400000000000002</c:v>
                </c:pt>
                <c:pt idx="4">
                  <c:v>0.45400000000000001</c:v>
                </c:pt>
                <c:pt idx="5">
                  <c:v>0.53600000000000003</c:v>
                </c:pt>
                <c:pt idx="6">
                  <c:v>0.52300000000000002</c:v>
                </c:pt>
                <c:pt idx="7">
                  <c:v>0.44</c:v>
                </c:pt>
                <c:pt idx="8">
                  <c:v>0.43200000000000033</c:v>
                </c:pt>
                <c:pt idx="9">
                  <c:v>0.84500000000000064</c:v>
                </c:pt>
                <c:pt idx="10">
                  <c:v>0.82900000000000063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703-448E-8131-E4831940EB2F}"/>
            </c:ext>
          </c:extLst>
        </c:ser>
        <c:gapWidth val="95"/>
        <c:overlap val="100"/>
        <c:axId val="104964480"/>
        <c:axId val="104966016"/>
      </c:barChart>
      <c:catAx>
        <c:axId val="104964480"/>
        <c:scaling>
          <c:orientation val="minMax"/>
        </c:scaling>
        <c:axPos val="l"/>
        <c:numFmt formatCode="General" sourceLinked="1"/>
        <c:majorTickMark val="none"/>
        <c:tickLblPos val="nextTo"/>
        <c:crossAx val="104966016"/>
        <c:crosses val="autoZero"/>
        <c:auto val="1"/>
        <c:lblAlgn val="ctr"/>
        <c:lblOffset val="100"/>
      </c:catAx>
      <c:valAx>
        <c:axId val="104966016"/>
        <c:scaling>
          <c:orientation val="minMax"/>
        </c:scaling>
        <c:delete val="1"/>
        <c:axPos val="b"/>
        <c:numFmt formatCode="0.0%" sourceLinked="1"/>
        <c:tickLblPos val="nextTo"/>
        <c:crossAx val="104964480"/>
        <c:crosses val="autoZero"/>
        <c:crossBetween val="between"/>
      </c:valAx>
    </c:plotArea>
    <c:legend>
      <c:legendPos val="t"/>
      <c:layout/>
    </c:legend>
    <c:plotVisOnly val="1"/>
    <c:dispBlanksAs val="gap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Мониторинг удовлетворенности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деятельностью  </a:t>
            </a:r>
          </a:p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финансовых организаций по предоставлению финансовых услуг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Стоимость</c:v>
                </c:pt>
              </c:strCache>
            </c:strRef>
          </c:tx>
          <c:spPr>
            <a:solidFill>
              <a:srgbClr val="0070C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Банки</c:v>
                </c:pt>
                <c:pt idx="1">
                  <c:v>Микрофинансовые организации</c:v>
                </c:pt>
                <c:pt idx="2">
                  <c:v>Кредитные потребительские кооперативы</c:v>
                </c:pt>
                <c:pt idx="3">
                  <c:v>Ломбарды</c:v>
                </c:pt>
                <c:pt idx="4">
                  <c:v>Субъекты страхового дела</c:v>
                </c:pt>
                <c:pt idx="5">
                  <c:v>Сельскохозяйственные кредитные потребительские кооперативы</c:v>
                </c:pt>
                <c:pt idx="6">
                  <c:v>Негосударственные пенсионные фонды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0.48900000000000032</c:v>
                </c:pt>
                <c:pt idx="1">
                  <c:v>0.40900000000000031</c:v>
                </c:pt>
                <c:pt idx="2">
                  <c:v>0.34</c:v>
                </c:pt>
                <c:pt idx="3">
                  <c:v>0.37500000000000033</c:v>
                </c:pt>
                <c:pt idx="4">
                  <c:v>0.43200000000000033</c:v>
                </c:pt>
                <c:pt idx="5">
                  <c:v>0.3860000000000004</c:v>
                </c:pt>
                <c:pt idx="6">
                  <c:v>0.45500000000000002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A8F-4829-9032-24ED171BAED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FF000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Банки</c:v>
                </c:pt>
                <c:pt idx="1">
                  <c:v>Микрофинансовые организации</c:v>
                </c:pt>
                <c:pt idx="2">
                  <c:v>Кредитные потребительские кооперативы</c:v>
                </c:pt>
                <c:pt idx="3">
                  <c:v>Ломбарды</c:v>
                </c:pt>
                <c:pt idx="4">
                  <c:v>Субъекты страхового дела</c:v>
                </c:pt>
                <c:pt idx="5">
                  <c:v>Сельскохозяйственные кредитные потребительские кооперативы</c:v>
                </c:pt>
                <c:pt idx="6">
                  <c:v>Негосударственные пенсионные фонды</c:v>
                </c:pt>
              </c:strCache>
            </c:strRef>
          </c:cat>
          <c:val>
            <c:numRef>
              <c:f>Лист1!$C$2:$C$8</c:f>
              <c:numCache>
                <c:formatCode>0.0%</c:formatCode>
                <c:ptCount val="7"/>
                <c:pt idx="0">
                  <c:v>0.63600000000000079</c:v>
                </c:pt>
                <c:pt idx="1">
                  <c:v>0.51100000000000001</c:v>
                </c:pt>
                <c:pt idx="2">
                  <c:v>0.51100000000000001</c:v>
                </c:pt>
                <c:pt idx="3">
                  <c:v>0.52300000000000002</c:v>
                </c:pt>
                <c:pt idx="4">
                  <c:v>0.57900000000000063</c:v>
                </c:pt>
                <c:pt idx="5">
                  <c:v>0.52300000000000002</c:v>
                </c:pt>
                <c:pt idx="6">
                  <c:v>0.57900000000000063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A8F-4829-9032-24ED171BAED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Доступность</c:v>
                </c:pt>
              </c:strCache>
            </c:strRef>
          </c:tx>
          <c:spPr>
            <a:solidFill>
              <a:srgbClr val="FFFF00"/>
            </a:solidFill>
          </c:spPr>
          <c:dLbls>
            <c:spPr>
              <a:noFill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Банки</c:v>
                </c:pt>
                <c:pt idx="1">
                  <c:v>Микрофинансовые организации</c:v>
                </c:pt>
                <c:pt idx="2">
                  <c:v>Кредитные потребительские кооперативы</c:v>
                </c:pt>
                <c:pt idx="3">
                  <c:v>Ломбарды</c:v>
                </c:pt>
                <c:pt idx="4">
                  <c:v>Субъекты страхового дела</c:v>
                </c:pt>
                <c:pt idx="5">
                  <c:v>Сельскохозяйственные кредитные потребительские кооперативы</c:v>
                </c:pt>
                <c:pt idx="6">
                  <c:v>Негосударственные пенсионные фонды</c:v>
                </c:pt>
              </c:strCache>
            </c:strRef>
          </c:cat>
          <c:val>
            <c:numRef>
              <c:f>Лист1!$D$2:$D$8</c:f>
              <c:numCache>
                <c:formatCode>0.0%</c:formatCode>
                <c:ptCount val="7"/>
                <c:pt idx="0">
                  <c:v>0.75000000000000078</c:v>
                </c:pt>
                <c:pt idx="1">
                  <c:v>0.30700000000000033</c:v>
                </c:pt>
                <c:pt idx="2">
                  <c:v>0.31800000000000039</c:v>
                </c:pt>
                <c:pt idx="3">
                  <c:v>0.39800000000000046</c:v>
                </c:pt>
                <c:pt idx="4">
                  <c:v>0.60200000000000065</c:v>
                </c:pt>
                <c:pt idx="5">
                  <c:v>0.37500000000000033</c:v>
                </c:pt>
                <c:pt idx="6">
                  <c:v>0.42000000000000032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A8F-4829-9032-24ED171BAEDC}"/>
            </c:ext>
          </c:extLst>
        </c:ser>
        <c:gapWidth val="95"/>
        <c:overlap val="100"/>
        <c:axId val="105189760"/>
        <c:axId val="105191296"/>
      </c:barChart>
      <c:catAx>
        <c:axId val="105189760"/>
        <c:scaling>
          <c:orientation val="minMax"/>
        </c:scaling>
        <c:axPos val="l"/>
        <c:numFmt formatCode="General" sourceLinked="1"/>
        <c:majorTickMark val="none"/>
        <c:tickLblPos val="nextTo"/>
        <c:crossAx val="105191296"/>
        <c:crosses val="autoZero"/>
        <c:auto val="1"/>
        <c:lblAlgn val="ctr"/>
        <c:lblOffset val="100"/>
      </c:catAx>
      <c:valAx>
        <c:axId val="105191296"/>
        <c:scaling>
          <c:orientation val="minMax"/>
        </c:scaling>
        <c:delete val="1"/>
        <c:axPos val="b"/>
        <c:numFmt formatCode="0.0%" sourceLinked="1"/>
        <c:tickLblPos val="nextTo"/>
        <c:crossAx val="105189760"/>
        <c:crosses val="autoZero"/>
        <c:crossBetween val="between"/>
      </c:valAx>
      <c:spPr>
        <a:noFill/>
        <a:ln w="25388">
          <a:noFill/>
        </a:ln>
      </c:spPr>
    </c:plotArea>
    <c:legend>
      <c:legendPos val="t"/>
      <c:layout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Анализ материального  положения населения 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Петровского городского округа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Не хватает денег на еду</c:v>
                </c:pt>
                <c:pt idx="1">
                  <c:v>Хватает денег на еду, но проблема с покупкой одежды</c:v>
                </c:pt>
                <c:pt idx="2">
                  <c:v>Хватает денег на еду и одежду, но для покупки бытовой техники необходимо копить или брать кредит</c:v>
                </c:pt>
                <c:pt idx="3">
                  <c:v>Могут купить бытовую технику, но не могут позволить себе автомобиль</c:v>
                </c:pt>
                <c:pt idx="4">
                  <c:v>Могут позволить себе многое, но не могут позволить себе купить квартиру</c:v>
                </c:pt>
                <c:pt idx="5">
                  <c:v>Отсутствуют финансовые затруднения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3.0000000000000002E-2</c:v>
                </c:pt>
                <c:pt idx="1">
                  <c:v>8.0000000000000043E-2</c:v>
                </c:pt>
                <c:pt idx="2">
                  <c:v>0.4</c:v>
                </c:pt>
                <c:pt idx="3">
                  <c:v>0.26</c:v>
                </c:pt>
                <c:pt idx="4">
                  <c:v>6.0000000000000032E-2</c:v>
                </c:pt>
                <c:pt idx="5">
                  <c:v>0.17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691-4ADB-9260-A0D64E989957}"/>
            </c:ext>
          </c:extLst>
        </c:ser>
      </c:pie3DChart>
      <c:spPr>
        <a:noFill/>
        <a:ln w="25390">
          <a:noFill/>
        </a:ln>
      </c:spPr>
    </c:plotArea>
    <c:legend>
      <c:legendPos val="r"/>
      <c:layout>
        <c:manualLayout>
          <c:xMode val="edge"/>
          <c:yMode val="edge"/>
          <c:x val="0.6474737745160497"/>
          <c:y val="0.17455209403172478"/>
          <c:w val="0.33973107730465907"/>
          <c:h val="0.80583210175651065"/>
        </c:manualLayout>
      </c:layout>
      <c:txPr>
        <a:bodyPr/>
        <a:lstStyle/>
        <a:p>
          <a:pPr>
            <a:lnSpc>
              <a:spcPts val="1080"/>
            </a:lnSpc>
            <a:spcBef>
              <a:spcPts val="0"/>
            </a:spcBef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Анализ востребованности финансовых продуктов (услуг)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  <a:p>
            <a:pPr algn="ctr"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за последние 12 месяцев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>
        <c:manualLayout>
          <c:layoutTarget val="inner"/>
          <c:xMode val="edge"/>
          <c:yMode val="edge"/>
          <c:x val="0.41905858121901568"/>
          <c:y val="0.16656761654793187"/>
          <c:w val="0.37451206620005956"/>
          <c:h val="0.70454005749281479"/>
        </c:manualLayout>
      </c:layout>
      <c:bar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Имеется сейчас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txPr>
              <a:bodyPr/>
              <a:lstStyle/>
              <a:p>
                <a:pPr>
                  <a:defRPr sz="900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Вложение средств в паевой инвестиционный фонд</c:v>
                </c:pt>
                <c:pt idx="1">
                  <c:v>Брокерский счет</c:v>
                </c:pt>
                <c:pt idx="2">
                  <c:v>Инвестиционное страхование жизни</c:v>
                </c:pt>
                <c:pt idx="3">
                  <c:v>Индивидуальный инвестиционный счет</c:v>
                </c:pt>
                <c:pt idx="4">
                  <c:v>Договор на размещение средств в форме займа в С/Х кредитном потребительском кооперативе</c:v>
                </c:pt>
                <c:pt idx="5">
                  <c:v>Договор на размещение средств в форме займа в кредитном потребительском кооперативе</c:v>
                </c:pt>
                <c:pt idx="6">
                  <c:v>Договор на размещение средств в форме займа в микрофинансовой организации</c:v>
                </c:pt>
                <c:pt idx="7">
                  <c:v>Банковский вклад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0.24900000000000005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0.31500000000000011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имеется сейчас, но пользовались за последние 12 мес.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Вложение средств в паевой инвестиционный фонд</c:v>
                </c:pt>
                <c:pt idx="1">
                  <c:v>Брокерский счет</c:v>
                </c:pt>
                <c:pt idx="2">
                  <c:v>Инвестиционное страхование жизни</c:v>
                </c:pt>
                <c:pt idx="3">
                  <c:v>Индивидуальный инвестиционный счет</c:v>
                </c:pt>
                <c:pt idx="4">
                  <c:v>Договор на размещение средств в форме займа в С/Х кредитном потребительском кооперативе</c:v>
                </c:pt>
                <c:pt idx="5">
                  <c:v>Договор на размещение средств в форме займа в кредитном потребительском кооперативе</c:v>
                </c:pt>
                <c:pt idx="6">
                  <c:v>Договор на размещение средств в форме займа в микрофинансовой организации</c:v>
                </c:pt>
                <c:pt idx="7">
                  <c:v>Банковский вклад</c:v>
                </c:pt>
              </c:strCache>
            </c:strRef>
          </c:cat>
          <c:val>
            <c:numRef>
              <c:f>Лист1!$C$2:$C$9</c:f>
              <c:numCache>
                <c:formatCode>0.0%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0.16200000000000001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0.255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использовался в течении последних 12 мес.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Вложение средств в паевой инвестиционный фонд</c:v>
                </c:pt>
                <c:pt idx="1">
                  <c:v>Брокерский счет</c:v>
                </c:pt>
                <c:pt idx="2">
                  <c:v>Инвестиционное страхование жизни</c:v>
                </c:pt>
                <c:pt idx="3">
                  <c:v>Индивидуальный инвестиционный счет</c:v>
                </c:pt>
                <c:pt idx="4">
                  <c:v>Договор на размещение средств в форме займа в С/Х кредитном потребительском кооперативе</c:v>
                </c:pt>
                <c:pt idx="5">
                  <c:v>Договор на размещение средств в форме займа в кредитном потребительском кооперативе</c:v>
                </c:pt>
                <c:pt idx="6">
                  <c:v>Договор на размещение средств в форме займа в микрофинансовой организации</c:v>
                </c:pt>
                <c:pt idx="7">
                  <c:v>Банковский вклад</c:v>
                </c:pt>
              </c:strCache>
            </c:strRef>
          </c:cat>
          <c:val>
            <c:numRef>
              <c:f>Лист1!$D$2:$D$9</c:f>
              <c:numCache>
                <c:formatCode>0.0%</c:formatCode>
                <c:ptCount val="8"/>
                <c:pt idx="0">
                  <c:v>1</c:v>
                </c:pt>
                <c:pt idx="1">
                  <c:v>1</c:v>
                </c:pt>
                <c:pt idx="2">
                  <c:v>0.58899999999999997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0.4300000000000001</c:v>
                </c:pt>
              </c:numCache>
            </c:numRef>
          </c:val>
        </c:ser>
        <c:gapWidth val="55"/>
        <c:overlap val="100"/>
        <c:axId val="105253504"/>
        <c:axId val="105062784"/>
      </c:barChart>
      <c:catAx>
        <c:axId val="10525350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 algn="just"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5062784"/>
        <c:crosses val="autoZero"/>
        <c:auto val="1"/>
        <c:lblAlgn val="ctr"/>
        <c:lblOffset val="100"/>
      </c:catAx>
      <c:valAx>
        <c:axId val="105062784"/>
        <c:scaling>
          <c:orientation val="minMax"/>
        </c:scaling>
        <c:delete val="1"/>
        <c:axPos val="b"/>
        <c:numFmt formatCode="0%" sourceLinked="1"/>
        <c:majorTickMark val="none"/>
        <c:tickLblPos val="nextTo"/>
        <c:crossAx val="105253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398148148148162"/>
          <c:y val="0.29557742782152235"/>
          <c:w val="0.19212962962962912"/>
          <c:h val="0.46430133733283413"/>
        </c:manualLayout>
      </c:layout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72779-5F11-4A9D-8AB3-E08BD9B3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4332</TotalTime>
  <Pages>17</Pages>
  <Words>3984</Words>
  <Characters>26878</Characters>
  <Application>Microsoft Office Word</Application>
  <DocSecurity>0</DocSecurity>
  <Lines>223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Старшему помощнику прокурора</vt:lpstr>
    </vt:vector>
  </TitlesOfParts>
  <Company>Минэк</Company>
  <LinksUpToDate>false</LinksUpToDate>
  <CharactersWithSpaces>30801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Старшему помощнику прокурора</dc:title>
  <dc:subject/>
  <dc:creator>u533-1-1</dc:creator>
  <cp:keywords/>
  <dc:description/>
  <cp:lastModifiedBy>tarasov</cp:lastModifiedBy>
  <cp:revision>40</cp:revision>
  <cp:lastPrinted>2020-12-23T11:36:00Z</cp:lastPrinted>
  <dcterms:created xsi:type="dcterms:W3CDTF">2019-12-03T09:15:00Z</dcterms:created>
  <dcterms:modified xsi:type="dcterms:W3CDTF">2020-12-28T08:22:00Z</dcterms:modified>
</cp:coreProperties>
</file>