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D3C8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Электронная регистрация ипотеки: преимущества</w:t>
      </w:r>
    </w:p>
    <w:bookmarkEnd w:id="0"/>
    <w:p w:rsidR="006D3C87" w:rsidRPr="006D3C87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итогам работы Управления Федеральной службы государственной регистрации, кадастра и картографии по Ставропольскому краю (далее - Управление) за 1 квартал 2018 года по государственной регистрации ипотеки необходимо отметить тенденцию к стабильному росту.</w:t>
      </w:r>
    </w:p>
    <w:p w:rsidR="006D3C87" w:rsidRPr="006D3C87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Рост связан, прежде всего, с широким развитием системы ипотечного жилищного кредитования на вторичном рынке жилья, с активизацией предоставления кредитов населению со стороны кредитных организаций и снижением процентных ставок по ипотечным кредитам.</w:t>
      </w:r>
    </w:p>
    <w:p w:rsidR="006D3C87" w:rsidRPr="006D3C87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Хочется отметить, что Федеральная служба государственной регистрации, кадастра и картографии (Росреестр) и Сбербанк России в 2016 году запустили совместный проект электронного взаимодействия по электронной регистрации недвижимости, приобретаемой в ипотеку.</w:t>
      </w:r>
    </w:p>
    <w:p w:rsidR="006D3C87" w:rsidRPr="006D3C87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Электронный проект постоянно развивается и позволяет клиентам банка, совершающим куплю-продажу жилья с использованием кредитных средств, а также приобретающим жилье путем участия в долевом строительстве многоквартирных домов подавать заявление на регистрацию прав собственности в электронном виде прямо в центрах ипотечного кредитования Сбербанка.</w:t>
      </w:r>
    </w:p>
    <w:p w:rsidR="006D3C87" w:rsidRPr="006D3C87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этом гражданам нет необходимости посещать офисы Росреестра или многофункциональных центров. При оформлении кредита банк сам формирует полный пакет документов, необходимых для регистрации права, и с помощью электронных сервисов направляет документы в Росреестр, где будет проводиться государственная регистрация права собственности.</w:t>
      </w:r>
    </w:p>
    <w:p w:rsidR="003B5426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Воспользовавшись услугами в электронном виде, заявитель получает три основных преимущества: экономия времени, исключение влияния человеческого фактора и сокращение затрат на госпошлину на 30%.</w:t>
      </w:r>
    </w:p>
    <w:p w:rsidR="006D3C87" w:rsidRPr="006D3C87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lang w:eastAsia="ru-RU" w:bidi="ar-SA"/>
        </w:rPr>
        <w:t>В 1 квартале 2018 года в Управление поступило 1770 электронных заявлений о государственной регистрации прав и о предоставлении сопутствующих документов, тогда как за аналогичный период 2017 года (1 квартал 2017) - всего 108.</w:t>
      </w:r>
    </w:p>
    <w:p w:rsidR="006D3C87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D3C87">
        <w:rPr>
          <w:rFonts w:ascii="Segoe UI" w:eastAsia="Times New Roman" w:hAnsi="Segoe UI" w:cs="Segoe UI"/>
          <w:color w:val="000000"/>
          <w:kern w:val="0"/>
          <w:lang w:eastAsia="ru-RU" w:bidi="ar-SA"/>
        </w:rPr>
        <w:t>Подача документов в рамках совместного проекта электронного взаимодействия Росреестра и Сбербанка по электронной регистрации недвижимости, приобретаемой в ипотеку, становится наиболее прогрессивным способом предоставления государственной услуги Росреестра, о чем и свидетельствует вышеназванная динамика роста.</w:t>
      </w:r>
    </w:p>
    <w:p w:rsidR="006D3C87" w:rsidRPr="003B5426" w:rsidRDefault="006D3C87" w:rsidP="006D3C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>
        <w:rPr>
          <w:rFonts w:ascii="Segoe UI" w:eastAsia="Times New Roman" w:hAnsi="Segoe UI" w:cs="Segoe UI"/>
          <w:noProof/>
          <w:color w:val="000000"/>
          <w:kern w:val="0"/>
          <w:lang w:eastAsia="ru-RU" w:bidi="ar-SA"/>
        </w:rPr>
        <w:lastRenderedPageBreak/>
        <w:drawing>
          <wp:inline distT="0" distB="0" distL="0" distR="0">
            <wp:extent cx="6296025" cy="4352925"/>
            <wp:effectExtent l="0" t="0" r="9525" b="9525"/>
            <wp:docPr id="1" name="Рисунок 1" descr="C:\Users\atkina_NV\Desktop\2017-10-27_202643-681x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kina_NV\Desktop\2017-10-27_202643-681x4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5A1D5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5A1D5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5A1D5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3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5A" w:rsidRDefault="005A1D5A">
      <w:r>
        <w:separator/>
      </w:r>
    </w:p>
  </w:endnote>
  <w:endnote w:type="continuationSeparator" w:id="0">
    <w:p w:rsidR="005A1D5A" w:rsidRDefault="005A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5A" w:rsidRDefault="005A1D5A">
      <w:r>
        <w:separator/>
      </w:r>
    </w:p>
  </w:footnote>
  <w:footnote w:type="continuationSeparator" w:id="0">
    <w:p w:rsidR="005A1D5A" w:rsidRDefault="005A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8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1D5A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3C87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D5B7B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tavre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i@stavre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BCFF-C865-4092-AFEB-224C23E8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2018-05-04T12:55:00Z</dcterms:modified>
</cp:coreProperties>
</file>