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A802E7" w:rsidP="003B542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Arial" w:hAnsi="Arial" w:cs="Arial"/>
          <w:noProof/>
          <w:lang w:eastAsia="ru-RU" w:bidi="ar-SA"/>
        </w:rPr>
        <w:drawing>
          <wp:inline distT="0" distB="0" distL="0" distR="0" wp14:anchorId="78CED6CE" wp14:editId="32139911">
            <wp:extent cx="2838450" cy="1194064"/>
            <wp:effectExtent l="0" t="0" r="0" b="6350"/>
            <wp:docPr id="4" name="Рисунок 4" descr="наш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ш логот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9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6F1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3B5426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                       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67778D" w:rsidRPr="00E16ED2" w:rsidRDefault="005D14E1" w:rsidP="0067778D">
      <w:pPr>
        <w:spacing w:before="240"/>
        <w:jc w:val="center"/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</w:pPr>
      <w:bookmarkStart w:id="0" w:name="_GoBack"/>
      <w:r w:rsidRPr="005D14E1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Несоблюдение нотариальной формы сделки влечет ее ничтожность</w:t>
      </w:r>
      <w:bookmarkEnd w:id="0"/>
    </w:p>
    <w:p w:rsidR="005D14E1" w:rsidRPr="005D14E1" w:rsidRDefault="005D14E1" w:rsidP="005D14E1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5D14E1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Гражданским кодексом Российской Федерации определена обязанность нотариального удостоверения сделок, установленных законом, а также, предусмотренных соглашением сторон, хотя по закону для сделок данного вида эта форма не требовалась.</w:t>
      </w:r>
    </w:p>
    <w:p w:rsidR="005D14E1" w:rsidRPr="005D14E1" w:rsidRDefault="005D14E1" w:rsidP="005D14E1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5D14E1">
        <w:rPr>
          <w:rFonts w:ascii="Segoe UI" w:eastAsia="Times New Roman" w:hAnsi="Segoe UI" w:cs="Segoe UI"/>
          <w:bCs/>
          <w:color w:val="000000"/>
          <w:kern w:val="0"/>
          <w:sz w:val="22"/>
          <w:szCs w:val="22"/>
          <w:lang w:eastAsia="ru-RU" w:bidi="ar-SA"/>
        </w:rPr>
        <w:t>Итак, законом установлена обязательность нотариального удостоверения для следующих видов сделок:</w:t>
      </w:r>
    </w:p>
    <w:p w:rsidR="005D14E1" w:rsidRPr="005D14E1" w:rsidRDefault="005D14E1" w:rsidP="005D14E1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proofErr w:type="gramStart"/>
      <w:r w:rsidRPr="005D14E1">
        <w:rPr>
          <w:rFonts w:ascii="Segoe UI" w:eastAsia="Times New Roman" w:hAnsi="Segoe UI" w:cs="Segoe UI"/>
          <w:bCs/>
          <w:color w:val="000000"/>
          <w:kern w:val="0"/>
          <w:sz w:val="22"/>
          <w:szCs w:val="22"/>
          <w:lang w:eastAsia="ru-RU" w:bidi="ar-SA"/>
        </w:rPr>
        <w:t>- сделки по отчуждению или договоры ипотеки долей в праве общей собственности на недвижимое имущество, в том числе при отчуждении или ипотеке всеми участниками долевой собственности своих долей по одной сделке, за исключением сделок, связанных с имуществом, составляющим паевой инвестиционный фонд или приобретаемым для включения в состав паевого инвестиционного фонда, сделок по отчуждению земельных долей, сделок по отчуждению и приобретению долей</w:t>
      </w:r>
      <w:proofErr w:type="gramEnd"/>
      <w:r w:rsidRPr="005D14E1">
        <w:rPr>
          <w:rFonts w:ascii="Segoe UI" w:eastAsia="Times New Roman" w:hAnsi="Segoe UI" w:cs="Segoe UI"/>
          <w:bCs/>
          <w:color w:val="000000"/>
          <w:kern w:val="0"/>
          <w:sz w:val="22"/>
          <w:szCs w:val="22"/>
          <w:lang w:eastAsia="ru-RU" w:bidi="ar-SA"/>
        </w:rPr>
        <w:t xml:space="preserve"> в праве общей собственности на недвижимое имущество при заключении договора, предусматривающего переход права собственности на жилое помещение в соответствии с </w:t>
      </w:r>
      <w:r w:rsidRPr="00467A72">
        <w:rPr>
          <w:rFonts w:ascii="Segoe UI" w:eastAsia="Times New Roman" w:hAnsi="Segoe UI" w:cs="Segoe UI"/>
          <w:bCs/>
          <w:color w:val="000000"/>
          <w:kern w:val="0"/>
          <w:sz w:val="22"/>
          <w:szCs w:val="22"/>
          <w:lang w:eastAsia="ru-RU" w:bidi="ar-SA"/>
        </w:rPr>
        <w:t>Законом</w:t>
      </w:r>
      <w:r w:rsidRPr="005D14E1">
        <w:rPr>
          <w:rFonts w:ascii="Segoe UI" w:eastAsia="Times New Roman" w:hAnsi="Segoe UI" w:cs="Segoe UI"/>
          <w:bCs/>
          <w:color w:val="000000"/>
          <w:kern w:val="0"/>
          <w:sz w:val="22"/>
          <w:szCs w:val="22"/>
          <w:lang w:eastAsia="ru-RU" w:bidi="ar-SA"/>
        </w:rPr>
        <w:t xml:space="preserve"> Российской Федерации от 15 апреля 1993 года N 4802-1 "О статусе столицы Российской Федерации";</w:t>
      </w:r>
    </w:p>
    <w:p w:rsidR="005D14E1" w:rsidRPr="005D14E1" w:rsidRDefault="005D14E1" w:rsidP="005D14E1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5D14E1">
        <w:rPr>
          <w:rFonts w:ascii="Segoe UI" w:eastAsia="Times New Roman" w:hAnsi="Segoe UI" w:cs="Segoe UI"/>
          <w:bCs/>
          <w:color w:val="000000"/>
          <w:kern w:val="0"/>
          <w:sz w:val="22"/>
          <w:szCs w:val="22"/>
          <w:lang w:eastAsia="ru-RU" w:bidi="ar-SA"/>
        </w:rPr>
        <w:t>- сделки, связанные с распоряжением недвижимым имуществом на условиях опеки</w:t>
      </w:r>
      <w:r w:rsidRPr="005D14E1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, а также сделки по отчуждению недвижимого имущества, принадлежащего несовершеннолетнему гражданину или гражданину, признанному ограниченно дееспособным; </w:t>
      </w:r>
    </w:p>
    <w:p w:rsidR="005D14E1" w:rsidRPr="005D14E1" w:rsidRDefault="005D14E1" w:rsidP="005D14E1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5D14E1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- сделки с объектом недвижимости, если заявление и документы на регистрацию этой сделки или на ее </w:t>
      </w:r>
      <w:proofErr w:type="gramStart"/>
      <w:r w:rsidRPr="005D14E1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основании</w:t>
      </w:r>
      <w:proofErr w:type="gramEnd"/>
      <w:r w:rsidRPr="005D14E1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на регистрацию права, ограничения или обременения права представляются почтовым отправлением; </w:t>
      </w:r>
    </w:p>
    <w:p w:rsidR="005D14E1" w:rsidRPr="005D14E1" w:rsidRDefault="005D14E1" w:rsidP="005D14E1">
      <w:pPr>
        <w:spacing w:before="240"/>
        <w:jc w:val="both"/>
        <w:rPr>
          <w:rFonts w:ascii="Segoe UI" w:eastAsia="Times New Roman" w:hAnsi="Segoe UI" w:cs="Segoe UI"/>
          <w:bCs/>
          <w:color w:val="000000"/>
          <w:kern w:val="0"/>
          <w:sz w:val="22"/>
          <w:szCs w:val="22"/>
          <w:lang w:eastAsia="ru-RU" w:bidi="ar-SA"/>
        </w:rPr>
      </w:pPr>
      <w:r w:rsidRPr="005D14E1">
        <w:rPr>
          <w:rFonts w:ascii="Segoe UI" w:eastAsia="Times New Roman" w:hAnsi="Segoe UI" w:cs="Segoe UI"/>
          <w:bCs/>
          <w:color w:val="000000"/>
          <w:kern w:val="0"/>
          <w:sz w:val="22"/>
          <w:szCs w:val="22"/>
          <w:lang w:eastAsia="ru-RU" w:bidi="ar-SA"/>
        </w:rPr>
        <w:t>- договор ренты;</w:t>
      </w:r>
    </w:p>
    <w:p w:rsidR="005D14E1" w:rsidRPr="005D14E1" w:rsidRDefault="005D14E1" w:rsidP="005D14E1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5D14E1">
        <w:rPr>
          <w:rFonts w:ascii="Segoe UI" w:eastAsia="Times New Roman" w:hAnsi="Segoe UI" w:cs="Segoe UI"/>
          <w:bCs/>
          <w:color w:val="000000"/>
          <w:kern w:val="0"/>
          <w:sz w:val="22"/>
          <w:szCs w:val="22"/>
          <w:lang w:eastAsia="ru-RU" w:bidi="ar-SA"/>
        </w:rPr>
        <w:t xml:space="preserve">- </w:t>
      </w:r>
      <w:r w:rsidRPr="005D14E1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б</w:t>
      </w:r>
      <w:r w:rsidRPr="00467A72">
        <w:rPr>
          <w:rFonts w:ascii="Segoe UI" w:eastAsia="Times New Roman" w:hAnsi="Segoe UI" w:cs="Segoe UI"/>
          <w:bCs/>
          <w:color w:val="000000"/>
          <w:kern w:val="0"/>
          <w:sz w:val="22"/>
          <w:szCs w:val="22"/>
          <w:lang w:eastAsia="ru-RU" w:bidi="ar-SA"/>
        </w:rPr>
        <w:t>рачный договор</w:t>
      </w:r>
      <w:r w:rsidRPr="005D14E1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;</w:t>
      </w:r>
    </w:p>
    <w:p w:rsidR="005D14E1" w:rsidRPr="005D14E1" w:rsidRDefault="005D14E1" w:rsidP="005D14E1">
      <w:pPr>
        <w:spacing w:before="240"/>
        <w:jc w:val="both"/>
        <w:rPr>
          <w:rFonts w:ascii="Segoe UI" w:eastAsia="Times New Roman" w:hAnsi="Segoe UI" w:cs="Segoe UI"/>
          <w:bCs/>
          <w:color w:val="000000"/>
          <w:kern w:val="0"/>
          <w:sz w:val="22"/>
          <w:szCs w:val="22"/>
          <w:lang w:eastAsia="ru-RU" w:bidi="ar-SA"/>
        </w:rPr>
      </w:pPr>
      <w:r w:rsidRPr="005D14E1">
        <w:rPr>
          <w:rFonts w:ascii="Segoe UI" w:eastAsia="Times New Roman" w:hAnsi="Segoe UI" w:cs="Segoe UI"/>
          <w:bCs/>
          <w:color w:val="000000"/>
          <w:kern w:val="0"/>
          <w:sz w:val="22"/>
          <w:szCs w:val="22"/>
          <w:lang w:eastAsia="ru-RU" w:bidi="ar-SA"/>
        </w:rPr>
        <w:t>- договоры уступки требования и перевода долга по нотариально удостоверенной сделке, а также соглашение об изменении и расторжении нотариально удостоверенного договора.</w:t>
      </w:r>
    </w:p>
    <w:p w:rsidR="005D14E1" w:rsidRPr="005D14E1" w:rsidRDefault="005D14E1" w:rsidP="005D14E1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5D14E1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Законодатель также предусмотрел обязательное нотариальное удостоверение сделок, если стороны сами решили нотариально удостоверить сделку, предусмотрев в соглашении условие об обязательном нотариальном удостоверении, хотя по закону оно и не требовалось. Нотариус не вправе отказать в удостоверении любой сделки, соответствующей закону.</w:t>
      </w:r>
    </w:p>
    <w:p w:rsidR="005D14E1" w:rsidRPr="005D14E1" w:rsidRDefault="005D14E1" w:rsidP="005D14E1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5D14E1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Если нотариальное удостоверение сделки является обязательным в соответствии с законом, либо по соглашению сторон, то </w:t>
      </w:r>
      <w:r w:rsidRPr="005D14E1">
        <w:rPr>
          <w:rFonts w:ascii="Segoe UI" w:eastAsia="Times New Roman" w:hAnsi="Segoe UI" w:cs="Segoe UI"/>
          <w:b/>
          <w:i/>
          <w:color w:val="000000"/>
          <w:kern w:val="0"/>
          <w:sz w:val="22"/>
          <w:szCs w:val="22"/>
          <w:lang w:eastAsia="ru-RU" w:bidi="ar-SA"/>
        </w:rPr>
        <w:t>несоблюдение нотариальной формы сделки влечет ее ничтожность</w:t>
      </w:r>
      <w:r w:rsidRPr="005D14E1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.</w:t>
      </w:r>
    </w:p>
    <w:p w:rsidR="005D14E1" w:rsidRPr="005D14E1" w:rsidRDefault="005D14E1" w:rsidP="005D14E1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proofErr w:type="gramStart"/>
      <w:r w:rsidRPr="005D14E1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lastRenderedPageBreak/>
        <w:t>Обращаем Ваше внимание, что Федеральным законом от 03.08.2018 № 338-ФЗ «О внесении изменений в отдельные законодательные акты Российской Федерации» с 01 февраля 2019 года  установлена обязанность представления нотариусами заявления о государственной регистрации прав и прилагаемых к нему документов в орган регистрации прав после удостоверения договора, на основании которого возникает право на недвижимое имущество;</w:t>
      </w:r>
      <w:proofErr w:type="gramEnd"/>
      <w:r w:rsidRPr="005D14E1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после выдачи свидетельства о праве на наследство по закону; после выдачи свидетельства о праве собственности на долю в общем имуществе супругов. </w:t>
      </w:r>
    </w:p>
    <w:p w:rsidR="005D14E1" w:rsidRPr="005D14E1" w:rsidRDefault="005D14E1" w:rsidP="005D14E1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proofErr w:type="gramStart"/>
      <w:r w:rsidRPr="005D14E1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После удостоверения договора, на основании которого возникает право на недвижимое имущество (долю в праве собственности на недвижимое имущество), подлежащее государственной регистрации, нотариус обязан незамедлительно, но не позднее окончания рабочего дня или в сроки, установленные сторонами в договоре, представить в электронной форме заявление о государственной регистрации прав и прилагаемые к нему документы в орган регистрации прав, если стороны сделки не возражают</w:t>
      </w:r>
      <w:proofErr w:type="gramEnd"/>
      <w:r w:rsidRPr="005D14E1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против подачи такого заявления нотариусом.</w:t>
      </w:r>
    </w:p>
    <w:p w:rsidR="005D14E1" w:rsidRPr="005D14E1" w:rsidRDefault="005D14E1" w:rsidP="005D14E1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proofErr w:type="gramStart"/>
      <w:r w:rsidRPr="005D14E1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В случае невозможности представить заявление о государственной регистрации прав и прилагаемые к нему документы в Росреестр в электронной форме нотариус будет обязан представить их на бумажном носителе не позднее двух рабочих дней со дня удостоверения договора, а в случае, если такой срок определен сторонами в договоре, не позднее двух рабочих дней по истечении такого срока. </w:t>
      </w:r>
      <w:proofErr w:type="gramEnd"/>
    </w:p>
    <w:p w:rsidR="003B5426" w:rsidRPr="003B5426" w:rsidRDefault="005D14E1" w:rsidP="005D14E1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5D14E1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В случае поступления таких заявления и документов в электронной форме, </w:t>
      </w:r>
      <w:r w:rsidRPr="005D14E1">
        <w:rPr>
          <w:rFonts w:ascii="Segoe UI" w:eastAsia="Times New Roman" w:hAnsi="Segoe UI" w:cs="Segoe UI"/>
          <w:b/>
          <w:i/>
          <w:color w:val="000000"/>
          <w:kern w:val="0"/>
          <w:sz w:val="22"/>
          <w:szCs w:val="22"/>
          <w:lang w:eastAsia="ru-RU" w:bidi="ar-SA"/>
        </w:rPr>
        <w:t>срок государственной регистрации составляет один рабочий день</w:t>
      </w:r>
      <w:r w:rsidRPr="005D14E1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.</w:t>
      </w:r>
    </w:p>
    <w:p w:rsidR="008E6652" w:rsidRDefault="008E6652" w:rsidP="008E6652">
      <w:pPr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</w:p>
    <w:p w:rsidR="00E17A52" w:rsidRDefault="004A1E24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7C74B4C" wp14:editId="73A08058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</w:t>
      </w:r>
      <w:r w:rsidR="0025545E">
        <w:rPr>
          <w:rFonts w:ascii="Segoe UI" w:hAnsi="Segoe UI" w:cs="Segoe UI"/>
          <w:b/>
          <w:noProof/>
          <w:lang w:eastAsia="sk-SK"/>
        </w:rPr>
        <w:t>б Управлении</w:t>
      </w:r>
      <w:r w:rsidRPr="00E4213D">
        <w:rPr>
          <w:rFonts w:ascii="Segoe UI" w:hAnsi="Segoe UI" w:cs="Segoe UI"/>
          <w:b/>
          <w:noProof/>
          <w:lang w:eastAsia="sk-SK"/>
        </w:rPr>
        <w:t xml:space="preserve"> Росреестр</w:t>
      </w:r>
      <w:r w:rsidR="0025545E">
        <w:rPr>
          <w:rFonts w:ascii="Segoe UI" w:hAnsi="Segoe UI" w:cs="Segoe UI"/>
          <w:b/>
          <w:noProof/>
          <w:lang w:eastAsia="sk-SK"/>
        </w:rPr>
        <w:t>а по Ставропольскому краю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25545E" w:rsidRDefault="007B30B6" w:rsidP="00E17A52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7B30B6"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Ставропольскому краю является территориальным органом Федеральной службы государственной регистрации, кадастра и картографии, осуществляет функции по государственной регистрации прав на недвижимое имущество и сделок с ним, землеустройства, государственного мониторинга земель, геодезии, картографии, а также функции государственного геодезического надзора, государственного земельного контроля, надзора за деятельностью саморегулируемых</w:t>
      </w:r>
      <w:proofErr w:type="gramEnd"/>
      <w:r w:rsidRPr="007B30B6">
        <w:rPr>
          <w:rFonts w:ascii="Segoe UI" w:hAnsi="Segoe UI" w:cs="Segoe UI"/>
          <w:sz w:val="18"/>
          <w:szCs w:val="18"/>
        </w:rPr>
        <w:t xml:space="preserve"> организаций оценщиков, контроля (надзора) за деятельностью арбитражных управляющих, саморегулируемых организаций арбитражных управляющих на территории Ставропольского края. </w:t>
      </w:r>
      <w:r w:rsidR="00D34F92">
        <w:rPr>
          <w:rFonts w:ascii="Segoe UI" w:hAnsi="Segoe UI" w:cs="Segoe UI"/>
          <w:sz w:val="18"/>
          <w:szCs w:val="18"/>
        </w:rPr>
        <w:t xml:space="preserve">Исполняет обязанности руководителя </w:t>
      </w:r>
      <w:r w:rsidR="00D34F92" w:rsidRPr="00D34F92">
        <w:rPr>
          <w:rFonts w:ascii="Segoe UI" w:hAnsi="Segoe UI" w:cs="Segoe UI"/>
          <w:sz w:val="18"/>
          <w:szCs w:val="18"/>
        </w:rPr>
        <w:t>Управлени</w:t>
      </w:r>
      <w:r w:rsidR="00F00835">
        <w:rPr>
          <w:rFonts w:ascii="Segoe UI" w:hAnsi="Segoe UI" w:cs="Segoe UI"/>
          <w:sz w:val="18"/>
          <w:szCs w:val="18"/>
        </w:rPr>
        <w:t>я</w:t>
      </w:r>
      <w:r w:rsidR="00D34F92" w:rsidRPr="00D34F92">
        <w:rPr>
          <w:rFonts w:ascii="Segoe UI" w:hAnsi="Segoe UI" w:cs="Segoe UI"/>
          <w:sz w:val="18"/>
          <w:szCs w:val="18"/>
        </w:rPr>
        <w:t xml:space="preserve"> Росреестра по Ставропольскому краю</w:t>
      </w:r>
      <w:r w:rsidR="00F00835">
        <w:rPr>
          <w:rFonts w:ascii="Segoe UI" w:hAnsi="Segoe UI" w:cs="Segoe UI"/>
          <w:sz w:val="18"/>
          <w:szCs w:val="18"/>
        </w:rPr>
        <w:t xml:space="preserve"> Колесников Михаил Дмитриевич.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Пресс-служба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Управления Федеральной службы </w:t>
      </w:r>
      <w:r w:rsidRPr="004B4A29">
        <w:rPr>
          <w:rFonts w:ascii="Segoe UI" w:eastAsia="Calibri" w:hAnsi="Segoe UI" w:cs="Segoe UI"/>
          <w:sz w:val="20"/>
          <w:szCs w:val="20"/>
          <w:lang w:eastAsia="en-US"/>
        </w:rPr>
        <w:br/>
        <w:t xml:space="preserve">государственной регистрации, кадастра и картографии 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 xml:space="preserve">по Ставропольскому краю (Управление Росреестра по СК) </w:t>
      </w:r>
    </w:p>
    <w:p w:rsidR="007B30B6" w:rsidRDefault="007B30B6" w:rsidP="007B30B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04840" w:rsidRDefault="00865A1B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</w:t>
      </w:r>
      <w:r w:rsidR="00863AB9">
        <w:rPr>
          <w:rFonts w:ascii="Segoe UI" w:eastAsia="Calibri" w:hAnsi="Segoe UI" w:cs="Segoe UI"/>
          <w:sz w:val="20"/>
          <w:szCs w:val="20"/>
          <w:lang w:eastAsia="en-US"/>
        </w:rPr>
        <w:t> 500 (доб. 1309</w:t>
      </w:r>
      <w:r w:rsidR="00004840">
        <w:rPr>
          <w:rFonts w:ascii="Segoe UI" w:eastAsia="Calibri" w:hAnsi="Segoe UI" w:cs="Segoe UI"/>
          <w:sz w:val="20"/>
          <w:szCs w:val="20"/>
          <w:lang w:eastAsia="en-US"/>
        </w:rPr>
        <w:t>)</w:t>
      </w:r>
    </w:p>
    <w:p w:rsidR="00863AB9" w:rsidRDefault="00863AB9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556 491</w:t>
      </w:r>
    </w:p>
    <w:p w:rsidR="00004840" w:rsidRPr="007779A5" w:rsidRDefault="00004840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7B30B6" w:rsidRDefault="00212AED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0" w:history="1"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smi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4840" w:rsidRPr="00004840" w:rsidRDefault="00004840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865A1B" w:rsidRPr="00715BF7" w:rsidRDefault="00212AED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1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7B30B6" w:rsidRPr="00715BF7" w:rsidRDefault="00212AED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2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865A1B" w:rsidRPr="00715BF7" w:rsidRDefault="00865A1B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582730" w:rsidRPr="00EC4E8A" w:rsidRDefault="007B30B6" w:rsidP="007B30B6">
      <w:pPr>
        <w:pStyle w:val="a6"/>
        <w:spacing w:after="0"/>
        <w:rPr>
          <w:rFonts w:eastAsia="Calibri"/>
          <w:lang w:eastAsia="en-US"/>
        </w:rPr>
      </w:pPr>
      <w:r w:rsidRPr="00EF51E7">
        <w:rPr>
          <w:rFonts w:ascii="Segoe UI" w:eastAsia="Calibri" w:hAnsi="Segoe UI" w:cs="Segoe UI"/>
          <w:sz w:val="20"/>
          <w:szCs w:val="20"/>
          <w:lang w:eastAsia="en-US"/>
        </w:rPr>
        <w:t>355012</w:t>
      </w:r>
      <w:r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>Ставропольский край</w:t>
      </w:r>
      <w:r>
        <w:rPr>
          <w:rFonts w:ascii="Segoe UI" w:eastAsia="Calibri" w:hAnsi="Segoe UI" w:cs="Segoe UI"/>
          <w:sz w:val="20"/>
          <w:szCs w:val="20"/>
          <w:lang w:eastAsia="en-US"/>
        </w:rPr>
        <w:t>,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 Ставрополь, ул.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proofErr w:type="gramStart"/>
      <w:r w:rsidRPr="00EF51E7">
        <w:rPr>
          <w:rFonts w:ascii="Segoe UI" w:eastAsia="Calibri" w:hAnsi="Segoe UI" w:cs="Segoe UI"/>
          <w:sz w:val="20"/>
          <w:szCs w:val="20"/>
          <w:lang w:eastAsia="en-US"/>
        </w:rPr>
        <w:t>Комсомольская</w:t>
      </w:r>
      <w:proofErr w:type="gramEnd"/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>д. 58</w:t>
      </w:r>
    </w:p>
    <w:sectPr w:rsidR="00582730" w:rsidRPr="00EC4E8A" w:rsidSect="00715BF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707" w:bottom="28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AED" w:rsidRDefault="00212AED">
      <w:r>
        <w:separator/>
      </w:r>
    </w:p>
  </w:endnote>
  <w:endnote w:type="continuationSeparator" w:id="0">
    <w:p w:rsidR="00212AED" w:rsidRDefault="00212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AED" w:rsidRDefault="00212AED">
      <w:r>
        <w:separator/>
      </w:r>
    </w:p>
  </w:footnote>
  <w:footnote w:type="continuationSeparator" w:id="0">
    <w:p w:rsidR="00212AED" w:rsidRDefault="00212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59104"/>
      <w:docPartObj>
        <w:docPartGallery w:val="Page Numbers (Top of Page)"/>
        <w:docPartUnique/>
      </w:docPartObj>
    </w:sdtPr>
    <w:sdtEndPr/>
    <w:sdtContent>
      <w:p w:rsidR="00715BF7" w:rsidRDefault="00715BF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A72">
          <w:rPr>
            <w:noProof/>
          </w:rPr>
          <w:t>2</w:t>
        </w:r>
        <w:r>
          <w:fldChar w:fldCharType="end"/>
        </w:r>
      </w:p>
    </w:sdtContent>
  </w:sdt>
  <w:p w:rsidR="00715BF7" w:rsidRDefault="00715BF7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4840"/>
    <w:rsid w:val="000140C0"/>
    <w:rsid w:val="000274BB"/>
    <w:rsid w:val="000339F7"/>
    <w:rsid w:val="0003642B"/>
    <w:rsid w:val="00065FE6"/>
    <w:rsid w:val="000673FC"/>
    <w:rsid w:val="000777EA"/>
    <w:rsid w:val="000817F8"/>
    <w:rsid w:val="00081D6D"/>
    <w:rsid w:val="00083261"/>
    <w:rsid w:val="0008597C"/>
    <w:rsid w:val="00090053"/>
    <w:rsid w:val="000923C9"/>
    <w:rsid w:val="000972A0"/>
    <w:rsid w:val="000B0B54"/>
    <w:rsid w:val="000D710D"/>
    <w:rsid w:val="000E345B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32C1C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B0762"/>
    <w:rsid w:val="001C10AF"/>
    <w:rsid w:val="001E5F75"/>
    <w:rsid w:val="001E757E"/>
    <w:rsid w:val="00200210"/>
    <w:rsid w:val="00204F71"/>
    <w:rsid w:val="00207C9A"/>
    <w:rsid w:val="00212AED"/>
    <w:rsid w:val="002177A9"/>
    <w:rsid w:val="00224AF8"/>
    <w:rsid w:val="00236744"/>
    <w:rsid w:val="0024682B"/>
    <w:rsid w:val="002518A3"/>
    <w:rsid w:val="0025344B"/>
    <w:rsid w:val="0025545E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6E29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30C9"/>
    <w:rsid w:val="00306F15"/>
    <w:rsid w:val="00311A90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938E2"/>
    <w:rsid w:val="003A0F6B"/>
    <w:rsid w:val="003B0301"/>
    <w:rsid w:val="003B5426"/>
    <w:rsid w:val="003B6634"/>
    <w:rsid w:val="003C2F61"/>
    <w:rsid w:val="003C3630"/>
    <w:rsid w:val="003E127A"/>
    <w:rsid w:val="003E5A48"/>
    <w:rsid w:val="003E7DE3"/>
    <w:rsid w:val="003F358F"/>
    <w:rsid w:val="003F5A31"/>
    <w:rsid w:val="003F60DD"/>
    <w:rsid w:val="003F7A31"/>
    <w:rsid w:val="00400403"/>
    <w:rsid w:val="004032F1"/>
    <w:rsid w:val="00406B55"/>
    <w:rsid w:val="00411504"/>
    <w:rsid w:val="00411C41"/>
    <w:rsid w:val="0041630D"/>
    <w:rsid w:val="0043154D"/>
    <w:rsid w:val="00441B3F"/>
    <w:rsid w:val="00442669"/>
    <w:rsid w:val="004447DC"/>
    <w:rsid w:val="004500B8"/>
    <w:rsid w:val="0045130D"/>
    <w:rsid w:val="004579D9"/>
    <w:rsid w:val="00457CD0"/>
    <w:rsid w:val="00462556"/>
    <w:rsid w:val="0046539B"/>
    <w:rsid w:val="00466308"/>
    <w:rsid w:val="00467A72"/>
    <w:rsid w:val="004705E8"/>
    <w:rsid w:val="0047070C"/>
    <w:rsid w:val="0047431C"/>
    <w:rsid w:val="00490C51"/>
    <w:rsid w:val="004A036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505BE1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2730"/>
    <w:rsid w:val="005853C8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D14E1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0B3"/>
    <w:rsid w:val="00637932"/>
    <w:rsid w:val="00642C63"/>
    <w:rsid w:val="006528FC"/>
    <w:rsid w:val="00654D1E"/>
    <w:rsid w:val="00664741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598A"/>
    <w:rsid w:val="00715BF7"/>
    <w:rsid w:val="00723E0F"/>
    <w:rsid w:val="007246F1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30B6"/>
    <w:rsid w:val="007B7EDE"/>
    <w:rsid w:val="007C54C4"/>
    <w:rsid w:val="007C5DC0"/>
    <w:rsid w:val="007C6CCA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1EB4"/>
    <w:rsid w:val="00862ADF"/>
    <w:rsid w:val="008631E9"/>
    <w:rsid w:val="00863AB9"/>
    <w:rsid w:val="00863EA9"/>
    <w:rsid w:val="00865A1B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8E6652"/>
    <w:rsid w:val="008E7EFA"/>
    <w:rsid w:val="0090164C"/>
    <w:rsid w:val="009063D5"/>
    <w:rsid w:val="00915632"/>
    <w:rsid w:val="0091695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2A82"/>
    <w:rsid w:val="00945AC0"/>
    <w:rsid w:val="00950582"/>
    <w:rsid w:val="00957A03"/>
    <w:rsid w:val="00961833"/>
    <w:rsid w:val="00962778"/>
    <w:rsid w:val="00966EE6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E1F59"/>
    <w:rsid w:val="009E4013"/>
    <w:rsid w:val="009E7840"/>
    <w:rsid w:val="009F3506"/>
    <w:rsid w:val="009F6293"/>
    <w:rsid w:val="009F7CD0"/>
    <w:rsid w:val="00A02B97"/>
    <w:rsid w:val="00A179D4"/>
    <w:rsid w:val="00A25EF1"/>
    <w:rsid w:val="00A31E23"/>
    <w:rsid w:val="00A35DCC"/>
    <w:rsid w:val="00A40F22"/>
    <w:rsid w:val="00A419FB"/>
    <w:rsid w:val="00A526C5"/>
    <w:rsid w:val="00A53C52"/>
    <w:rsid w:val="00A54DEC"/>
    <w:rsid w:val="00A550FE"/>
    <w:rsid w:val="00A73E74"/>
    <w:rsid w:val="00A75297"/>
    <w:rsid w:val="00A75D32"/>
    <w:rsid w:val="00A802E7"/>
    <w:rsid w:val="00A80937"/>
    <w:rsid w:val="00A85BD7"/>
    <w:rsid w:val="00A87657"/>
    <w:rsid w:val="00A93B34"/>
    <w:rsid w:val="00AC17CA"/>
    <w:rsid w:val="00AC2117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3093A"/>
    <w:rsid w:val="00B316E9"/>
    <w:rsid w:val="00B3273F"/>
    <w:rsid w:val="00B410BF"/>
    <w:rsid w:val="00B51E7F"/>
    <w:rsid w:val="00B531CD"/>
    <w:rsid w:val="00B56D31"/>
    <w:rsid w:val="00B62FD8"/>
    <w:rsid w:val="00B67940"/>
    <w:rsid w:val="00B71DB4"/>
    <w:rsid w:val="00B900FB"/>
    <w:rsid w:val="00B93305"/>
    <w:rsid w:val="00B93CEB"/>
    <w:rsid w:val="00B94391"/>
    <w:rsid w:val="00BB5741"/>
    <w:rsid w:val="00BC4833"/>
    <w:rsid w:val="00BD483A"/>
    <w:rsid w:val="00BD5312"/>
    <w:rsid w:val="00BD728B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31B2B"/>
    <w:rsid w:val="00C40310"/>
    <w:rsid w:val="00C407D7"/>
    <w:rsid w:val="00C412A4"/>
    <w:rsid w:val="00C45896"/>
    <w:rsid w:val="00C46E86"/>
    <w:rsid w:val="00C57BE0"/>
    <w:rsid w:val="00C642A1"/>
    <w:rsid w:val="00C75216"/>
    <w:rsid w:val="00C91719"/>
    <w:rsid w:val="00CA5B20"/>
    <w:rsid w:val="00CB059D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32543"/>
    <w:rsid w:val="00D34F92"/>
    <w:rsid w:val="00D37D78"/>
    <w:rsid w:val="00D4167F"/>
    <w:rsid w:val="00D47707"/>
    <w:rsid w:val="00D54C33"/>
    <w:rsid w:val="00D6279A"/>
    <w:rsid w:val="00D82F22"/>
    <w:rsid w:val="00D8573F"/>
    <w:rsid w:val="00D94786"/>
    <w:rsid w:val="00D95FBE"/>
    <w:rsid w:val="00DB5B8B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65126"/>
    <w:rsid w:val="00E73874"/>
    <w:rsid w:val="00E84CC2"/>
    <w:rsid w:val="00E85462"/>
    <w:rsid w:val="00E85548"/>
    <w:rsid w:val="00E8742D"/>
    <w:rsid w:val="00E93DF6"/>
    <w:rsid w:val="00E95315"/>
    <w:rsid w:val="00E978C3"/>
    <w:rsid w:val="00EA21B2"/>
    <w:rsid w:val="00EA3E70"/>
    <w:rsid w:val="00EA4A6C"/>
    <w:rsid w:val="00EB0995"/>
    <w:rsid w:val="00EB2484"/>
    <w:rsid w:val="00EB5607"/>
    <w:rsid w:val="00EB7180"/>
    <w:rsid w:val="00EC4847"/>
    <w:rsid w:val="00EC4E8A"/>
    <w:rsid w:val="00ED3639"/>
    <w:rsid w:val="00EF3B27"/>
    <w:rsid w:val="00EF51E7"/>
    <w:rsid w:val="00EF5CD8"/>
    <w:rsid w:val="00EF60BA"/>
    <w:rsid w:val="00F00835"/>
    <w:rsid w:val="00F00971"/>
    <w:rsid w:val="00F03AFD"/>
    <w:rsid w:val="00F05946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65045"/>
    <w:rsid w:val="00F9743A"/>
    <w:rsid w:val="00FA5BD4"/>
    <w:rsid w:val="00FA6768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sreestr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vre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mi@stavreg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0C7A0-BD82-4E93-AB85-9447A3C07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Надежда Васильевна</dc:creator>
  <cp:lastModifiedBy>Громова Надежда Васильевна</cp:lastModifiedBy>
  <cp:revision>33</cp:revision>
  <cp:lastPrinted>2015-04-20T06:25:00Z</cp:lastPrinted>
  <dcterms:created xsi:type="dcterms:W3CDTF">2015-06-01T08:41:00Z</dcterms:created>
  <dcterms:modified xsi:type="dcterms:W3CDTF">2019-04-23T07:59:00Z</dcterms:modified>
</cp:coreProperties>
</file>