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CC189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CC189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Что делать, если вам необходимо осуществить возврат ошибочно или излишне оплаченных денежных средств?</w:t>
      </w:r>
      <w:bookmarkEnd w:id="0"/>
    </w:p>
    <w:p w:rsidR="00CC1890" w:rsidRPr="00CC1890" w:rsidRDefault="00CC1890" w:rsidP="00CC1890">
      <w:pPr>
        <w:spacing w:before="240"/>
        <w:jc w:val="both"/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</w:t>
      </w:r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 xml:space="preserve">лательщику 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необходимо </w:t>
      </w:r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>обратиться в Управление Росреестра по Ставропольскому краю, либо в его территориальные отделы с соответствующим письменным заявлением, образцы размещены на сайте Управления (https://stavreg.ru/) в разделе «</w:t>
      </w:r>
      <w:proofErr w:type="spellStart"/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>Деятельность»</w:t>
      </w:r>
      <w:r w:rsidRPr="00CC1890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ru-RU" w:bidi="ar-SA"/>
        </w:rPr>
        <w:t>⇒</w:t>
      </w: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«Регистрация</w:t>
      </w:r>
      <w:proofErr w:type="spellEnd"/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прав»</w:t>
      </w:r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C1890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ru-RU" w:bidi="ar-SA"/>
        </w:rPr>
        <w:t>⇒</w:t>
      </w: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«Государственная</w:t>
      </w:r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spellStart"/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пошлина»</w:t>
      </w:r>
      <w:r w:rsidRPr="00CC1890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ru-RU" w:bidi="ar-SA"/>
        </w:rPr>
        <w:t>⇒</w:t>
      </w: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«Образцы</w:t>
      </w:r>
      <w:proofErr w:type="spellEnd"/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заявлений</w:t>
      </w:r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</w:t>
      </w:r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возврат</w:t>
      </w:r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</w:t>
      </w:r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уточнения»</w:t>
      </w:r>
      <w:r w:rsidRPr="00CC1890">
        <w:rPr>
          <w:rFonts w:ascii="Segoe UI" w:eastAsia="Times New Roman" w:hAnsi="Segoe UI" w:cs="Segoe UI" w:hint="eastAsia"/>
          <w:color w:val="000000"/>
          <w:kern w:val="0"/>
          <w:sz w:val="22"/>
          <w:szCs w:val="22"/>
          <w:lang w:eastAsia="ru-RU" w:bidi="ar-SA"/>
        </w:rPr>
        <w:t>.</w:t>
      </w:r>
    </w:p>
    <w:p w:rsidR="00CC1890" w:rsidRPr="00CC1890" w:rsidRDefault="00CC1890" w:rsidP="00CC1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 заявлению о возврате государственной пошлины необходимо приложить:</w:t>
      </w:r>
    </w:p>
    <w:p w:rsidR="00CC1890" w:rsidRPr="00CC1890" w:rsidRDefault="00CC1890" w:rsidP="00CC1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оригинал (при возврате суммы полностью) или копию со штампом погашено (при возврате части суммы) платежного документа (квитанции, чека-ордера – для физических лиц, платежного поручения – для юридических лиц);</w:t>
      </w:r>
    </w:p>
    <w:p w:rsidR="00CC1890" w:rsidRPr="00CC1890" w:rsidRDefault="00CC1890" w:rsidP="00CC1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оригинал или копию документа, подтверждающего полномочия лица, действовавшего от имени плательщика.</w:t>
      </w:r>
    </w:p>
    <w:p w:rsidR="00CC1890" w:rsidRPr="00CC1890" w:rsidRDefault="00CC1890" w:rsidP="00CC1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 заявлению о возврате платы за предоставление сведений из ЕГРН, плательщику необходимо приложить оригинал или копию документа, подтверждающего перечисление платежа. Указанная копия документа заверяется расчетной организацией, осуществившей данный платеж. </w:t>
      </w:r>
      <w:proofErr w:type="gramStart"/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Заверение копии</w:t>
      </w:r>
      <w:proofErr w:type="gramEnd"/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документа, подтверждающего перечисление платежа, не требуется в случае, если при предоставлении заявления о возврате платежа при личном обращении предъявляется оригинал документа, подтверждающего перечисление платежа, который возвращается заявителю. В случае подачи заявления о возврате платежа </w:t>
      </w:r>
      <w:proofErr w:type="spellStart"/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правоприемником</w:t>
      </w:r>
      <w:proofErr w:type="spellEnd"/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заявителя к такому заявлению прикладываются документы, подтверждающие переход прав требования к </w:t>
      </w:r>
      <w:proofErr w:type="spellStart"/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правоприемнику</w:t>
      </w:r>
      <w:proofErr w:type="spellEnd"/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заявителя.</w:t>
      </w:r>
    </w:p>
    <w:p w:rsidR="00CC1890" w:rsidRPr="00CC1890" w:rsidRDefault="00CC1890" w:rsidP="00CC1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отсутствия перечисленных документов, заявление о возврате платежа сотрудниками Управления не принимается.</w:t>
      </w:r>
    </w:p>
    <w:p w:rsidR="00CC1890" w:rsidRPr="00CC1890" w:rsidRDefault="00CC1890" w:rsidP="00CC1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Возврат государственной пошлины производится в течение одного месяца со дня подачи заявления; возврат платы за предоставление сведений из ЕГРН, производится в течение 12 рабочих дней со дня подачи заявления.</w:t>
      </w:r>
    </w:p>
    <w:p w:rsidR="003B5426" w:rsidRPr="003B5426" w:rsidRDefault="00CC1890" w:rsidP="00CC1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1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Заявление о возврате государственной пошлины или платы за предоставление сведений из ЕГРН, можно подать в Управление Росреестра в течение трех лет со дня осуществления оплаты.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</w:t>
      </w:r>
      <w:r w:rsidRPr="007B30B6">
        <w:rPr>
          <w:rFonts w:ascii="Segoe UI" w:hAnsi="Segoe UI" w:cs="Segoe UI"/>
          <w:sz w:val="18"/>
          <w:szCs w:val="18"/>
        </w:rPr>
        <w:lastRenderedPageBreak/>
        <w:t>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FB25D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FB25D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FB25D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D3" w:rsidRDefault="00FB25D3">
      <w:r>
        <w:separator/>
      </w:r>
    </w:p>
  </w:endnote>
  <w:endnote w:type="continuationSeparator" w:id="0">
    <w:p w:rsidR="00FB25D3" w:rsidRDefault="00FB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D3" w:rsidRDefault="00FB25D3">
      <w:r>
        <w:separator/>
      </w:r>
    </w:p>
  </w:footnote>
  <w:footnote w:type="continuationSeparator" w:id="0">
    <w:p w:rsidR="00FB25D3" w:rsidRDefault="00FB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9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890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B25D3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5A3A-8A42-447D-BF89-3FB34666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2019-04-23T08:10:00Z</dcterms:modified>
</cp:coreProperties>
</file>