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D" w:rsidRPr="00534200" w:rsidRDefault="000F479D"/>
    <w:p w:rsidR="00E73237" w:rsidRPr="00D95AFC" w:rsidRDefault="00E73237" w:rsidP="00914D71">
      <w:pPr>
        <w:widowControl w:val="0"/>
        <w:ind w:firstLine="709"/>
        <w:jc w:val="both"/>
      </w:pPr>
      <w:proofErr w:type="gramStart"/>
      <w:r w:rsidRPr="00D95AFC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486D1C">
        <w:t>публикует</w:t>
      </w:r>
      <w:r w:rsidRPr="00D95AFC">
        <w:t xml:space="preserve"> информацию</w:t>
      </w:r>
      <w:proofErr w:type="gramEnd"/>
      <w:r w:rsidRPr="00D95AFC">
        <w:t xml:space="preserve"> об итогах мониторинга состояния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 w:rsidR="007C4055" w:rsidRPr="00D95AFC">
        <w:t>четвертый</w:t>
      </w:r>
      <w:r w:rsidRPr="00D95AFC">
        <w:t xml:space="preserve"> квартал 2019 года.</w:t>
      </w:r>
    </w:p>
    <w:p w:rsidR="00E73237" w:rsidRPr="00D95AFC" w:rsidRDefault="00E73237" w:rsidP="00E73237">
      <w:pPr>
        <w:widowControl w:val="0"/>
        <w:ind w:firstLine="709"/>
      </w:pPr>
    </w:p>
    <w:p w:rsidR="00E73237" w:rsidRPr="00D95AFC" w:rsidRDefault="00E73237" w:rsidP="00E73237">
      <w:pPr>
        <w:rPr>
          <w:b/>
        </w:rPr>
      </w:pPr>
      <w:r w:rsidRPr="00D95AFC">
        <w:rPr>
          <w:b/>
        </w:rPr>
        <w:t xml:space="preserve">1. Общая оценка состояния межнациональных и </w:t>
      </w:r>
      <w:proofErr w:type="spellStart"/>
      <w:r w:rsidRPr="00D95AFC">
        <w:rPr>
          <w:b/>
        </w:rPr>
        <w:t>этноконфессиональных</w:t>
      </w:r>
      <w:proofErr w:type="spellEnd"/>
      <w:r w:rsidRPr="00D95AFC">
        <w:rPr>
          <w:b/>
        </w:rPr>
        <w:t xml:space="preserve"> отношений.</w:t>
      </w:r>
    </w:p>
    <w:p w:rsidR="00E73237" w:rsidRPr="00D95AFC" w:rsidRDefault="00E73237" w:rsidP="00914D71">
      <w:pPr>
        <w:widowControl w:val="0"/>
        <w:ind w:firstLine="709"/>
        <w:jc w:val="both"/>
      </w:pPr>
      <w:r w:rsidRPr="00D95AFC">
        <w:t xml:space="preserve">1.1. Состояние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 в </w:t>
      </w:r>
      <w:r w:rsidR="007C4055" w:rsidRPr="00D95AFC">
        <w:t>четвертом</w:t>
      </w:r>
      <w:r w:rsidRPr="00D95AFC">
        <w:t xml:space="preserve"> квартале 2019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E73237" w:rsidRPr="00D95AFC" w:rsidRDefault="00E73237" w:rsidP="00914D71">
      <w:pPr>
        <w:widowControl w:val="0"/>
        <w:ind w:firstLine="709"/>
        <w:jc w:val="both"/>
      </w:pPr>
      <w:r w:rsidRPr="00D95AFC">
        <w:t xml:space="preserve">1.2. Массовых протестных акций, вызванных межэтническими и </w:t>
      </w:r>
      <w:proofErr w:type="spellStart"/>
      <w:r w:rsidRPr="00D95AFC">
        <w:t>этноконфессиональными</w:t>
      </w:r>
      <w:proofErr w:type="spellEnd"/>
      <w:r w:rsidRPr="00D95AF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E73237" w:rsidRPr="00D95AFC" w:rsidRDefault="00E73237" w:rsidP="00914D71">
      <w:pPr>
        <w:widowControl w:val="0"/>
        <w:ind w:firstLine="709"/>
        <w:jc w:val="both"/>
      </w:pPr>
      <w:r w:rsidRPr="00D95AFC">
        <w:t xml:space="preserve">1.3. За отчетный период 2019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D95AFC">
        <w:t>привести к столкновениям на национальной и религиозной почве не зарегистрированы</w:t>
      </w:r>
      <w:proofErr w:type="gramEnd"/>
      <w:r w:rsidRPr="00D95AFC">
        <w:t>.</w:t>
      </w:r>
    </w:p>
    <w:p w:rsidR="00E73237" w:rsidRPr="00D95AFC" w:rsidRDefault="00E73237" w:rsidP="00914D71">
      <w:pPr>
        <w:widowControl w:val="0"/>
        <w:ind w:firstLine="709"/>
        <w:jc w:val="both"/>
      </w:pPr>
      <w:r w:rsidRPr="00D95AFC">
        <w:t xml:space="preserve">1.4. Фактов этнического и религиозного экстремизма в </w:t>
      </w:r>
      <w:r w:rsidR="007C4055" w:rsidRPr="00D95AFC">
        <w:t>четвертом</w:t>
      </w:r>
      <w:r w:rsidRPr="00D95AFC">
        <w:t xml:space="preserve"> квартале 2019 года на территории Петровского городского округа Ставропольского края не зарегистрировано.</w:t>
      </w:r>
    </w:p>
    <w:p w:rsidR="00E73237" w:rsidRPr="00D95AFC" w:rsidRDefault="00E73237" w:rsidP="00914D71">
      <w:pPr>
        <w:widowControl w:val="0"/>
        <w:ind w:firstLine="709"/>
        <w:jc w:val="both"/>
      </w:pPr>
      <w:r w:rsidRPr="00D95AFC">
        <w:t xml:space="preserve">1.5. Прогноз межнациональной и </w:t>
      </w:r>
      <w:proofErr w:type="spellStart"/>
      <w:r w:rsidRPr="00D95AFC">
        <w:t>этноконфессиональной</w:t>
      </w:r>
      <w:proofErr w:type="spellEnd"/>
      <w:r w:rsidRPr="00D95AFC">
        <w:t xml:space="preserve"> ситуации на </w:t>
      </w:r>
      <w:r w:rsidR="007C4055" w:rsidRPr="00D95AFC">
        <w:t>первый</w:t>
      </w:r>
      <w:r w:rsidRPr="00D95AFC">
        <w:t xml:space="preserve"> квартал 20</w:t>
      </w:r>
      <w:r w:rsidR="007C4055" w:rsidRPr="00D95AFC">
        <w:t>20</w:t>
      </w:r>
      <w:r w:rsidRPr="00D95AFC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D95AFC">
        <w:t>этноконфессиональные</w:t>
      </w:r>
      <w:proofErr w:type="spellEnd"/>
      <w:r w:rsidRPr="00D95AFC">
        <w:t xml:space="preserve"> отношения.</w:t>
      </w:r>
    </w:p>
    <w:p w:rsidR="00E73237" w:rsidRPr="00D95AFC" w:rsidRDefault="00E73237" w:rsidP="00914D71">
      <w:pPr>
        <w:ind w:firstLine="708"/>
        <w:jc w:val="both"/>
      </w:pPr>
    </w:p>
    <w:p w:rsidR="00E73237" w:rsidRPr="00D95AFC" w:rsidRDefault="00E73237" w:rsidP="00914D71">
      <w:pPr>
        <w:ind w:firstLine="708"/>
        <w:jc w:val="both"/>
        <w:rPr>
          <w:b/>
        </w:rPr>
      </w:pPr>
      <w:r w:rsidRPr="00D95AF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D95AFC">
        <w:rPr>
          <w:b/>
        </w:rPr>
        <w:t>этноконфессиональных</w:t>
      </w:r>
      <w:proofErr w:type="spellEnd"/>
      <w:r w:rsidRPr="00D95AF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E73237" w:rsidRPr="00D95AFC" w:rsidRDefault="00E73237" w:rsidP="00914D71">
      <w:pPr>
        <w:ind w:firstLine="709"/>
        <w:jc w:val="both"/>
      </w:pPr>
      <w:r w:rsidRPr="00D95AFC">
        <w:lastRenderedPageBreak/>
        <w:t xml:space="preserve">2.1. </w:t>
      </w:r>
      <w:proofErr w:type="gramStart"/>
      <w:r w:rsidRPr="00D95AFC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D95AFC">
        <w:t xml:space="preserve"> Кавказа, их традиций и ценностей.</w:t>
      </w:r>
    </w:p>
    <w:p w:rsidR="00E73237" w:rsidRPr="00D95AFC" w:rsidRDefault="00E73237" w:rsidP="00914D71">
      <w:pPr>
        <w:ind w:firstLine="708"/>
        <w:jc w:val="both"/>
      </w:pPr>
      <w:r w:rsidRPr="00D95AFC">
        <w:t xml:space="preserve">В </w:t>
      </w:r>
      <w:r w:rsidR="007C4055" w:rsidRPr="00D95AFC">
        <w:t xml:space="preserve">четвертом </w:t>
      </w:r>
      <w:r w:rsidRPr="00D95AFC">
        <w:t xml:space="preserve"> квартале 2019 года учреждениями образования и культуры Петровского городского округа проведено </w:t>
      </w:r>
      <w:r w:rsidR="00914D71" w:rsidRPr="00D95AFC">
        <w:t>4</w:t>
      </w:r>
      <w:r w:rsidR="004634EB" w:rsidRPr="00D95AFC">
        <w:t>4</w:t>
      </w:r>
      <w:r w:rsidRPr="00D95AFC">
        <w:t xml:space="preserve"> мероприятия, направленных на гармонизацию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отношений, профилактику проявлений этнического и религиозного экстремизма. </w:t>
      </w:r>
    </w:p>
    <w:p w:rsidR="00E73237" w:rsidRPr="00D95AFC" w:rsidRDefault="00E73237" w:rsidP="00E73237">
      <w:r w:rsidRPr="00D95AFC">
        <w:t>Во всех образовательных учреждениях округа прошли: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 xml:space="preserve">- классные часы по теме: </w:t>
      </w:r>
      <w:proofErr w:type="gramStart"/>
      <w:r w:rsidRPr="00D95AFC">
        <w:rPr>
          <w:szCs w:val="28"/>
        </w:rPr>
        <w:t>«Мы разные, но мы вместе», «Добрым быть всегда непросто», «Терпимость к чужим мнениям», «Что значит уважать другого», «Если доброта, как солнце светит…», «Дети разных народов мы мечтою о дружбе живем!», «Мой дом - моя крепость», «Движение к взаимопониманию», «Единство разных», «Доброта – качество, излишек которого не вредит», «Нация.</w:t>
      </w:r>
      <w:proofErr w:type="gramEnd"/>
      <w:r w:rsidRPr="00D95AFC">
        <w:rPr>
          <w:szCs w:val="28"/>
        </w:rPr>
        <w:t xml:space="preserve"> Национальная принадлежность» и др.; 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тренинги: «Что значит уважать другого», «Мы едины – мы непобедимы!», «Дружба с первого взгляда»;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выставка рисунков: «Все мы разные друзья, но Земля у нас одна - Россия», «Дети – за культуру мира, ПРОТИВ терроризма»;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 xml:space="preserve">- Часы общения: «Для чего необходима толерантность в обществе?», «Терроризм, его причины и последствия», «Толерантность – дорога к миру», «Наш толерантный класс»; 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родительские собрания: «Что такое экстремизм», «Правда и ложь», «Конституция – основной Закон нашей жизни», «Имею право</w:t>
      </w:r>
      <w:proofErr w:type="gramStart"/>
      <w:r w:rsidRPr="00D95AFC">
        <w:rPr>
          <w:szCs w:val="28"/>
        </w:rPr>
        <w:t>!...</w:t>
      </w:r>
      <w:proofErr w:type="gramEnd"/>
      <w:r w:rsidRPr="00D95AFC">
        <w:rPr>
          <w:szCs w:val="28"/>
        </w:rPr>
        <w:t xml:space="preserve">Имею право?...»; 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 xml:space="preserve">- круглые столы: «Толерантность в современном мире», «На какой почве возникает нетерпимость человека к </w:t>
      </w:r>
      <w:proofErr w:type="gramStart"/>
      <w:r w:rsidRPr="00D95AFC">
        <w:rPr>
          <w:szCs w:val="28"/>
        </w:rPr>
        <w:t>другому</w:t>
      </w:r>
      <w:proofErr w:type="gramEnd"/>
      <w:r w:rsidRPr="00D95AFC">
        <w:rPr>
          <w:szCs w:val="28"/>
        </w:rPr>
        <w:t>»;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викторина: «Что мы знаем о народах Северного Кавказа?»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акции: «Час бега за дружбу наций», «Спешите делать добро».</w:t>
      </w:r>
    </w:p>
    <w:p w:rsidR="007C4055" w:rsidRPr="00D95AFC" w:rsidRDefault="007C4055" w:rsidP="007C4055">
      <w:pPr>
        <w:ind w:firstLine="708"/>
        <w:jc w:val="both"/>
        <w:rPr>
          <w:szCs w:val="28"/>
        </w:rPr>
      </w:pPr>
      <w:r w:rsidRPr="00D95AFC">
        <w:rPr>
          <w:szCs w:val="28"/>
        </w:rPr>
        <w:t>- выставки книг: «Толерантность: мир в душе, уме и сердце», «Хорошо, что мы такие разные!», «Моя родина – Россия».</w:t>
      </w:r>
    </w:p>
    <w:p w:rsidR="004634EB" w:rsidRPr="00D95AFC" w:rsidRDefault="004634EB" w:rsidP="004634EB">
      <w:pPr>
        <w:ind w:firstLine="708"/>
        <w:jc w:val="both"/>
        <w:rPr>
          <w:szCs w:val="28"/>
        </w:rPr>
      </w:pPr>
      <w:r w:rsidRPr="00D95AFC">
        <w:rPr>
          <w:szCs w:val="28"/>
        </w:rPr>
        <w:t>4 ноября 2019 года в селе Гофицкое был проведен V фестиваль национальных культур «Радуга», который при участии Комитета Ставропольского края по делам национальностей и казачества</w:t>
      </w:r>
      <w:proofErr w:type="gramStart"/>
      <w:r w:rsidRPr="00D95AFC">
        <w:rPr>
          <w:szCs w:val="28"/>
        </w:rPr>
        <w:t>.</w:t>
      </w:r>
      <w:proofErr w:type="gramEnd"/>
      <w:r w:rsidRPr="00D95AFC">
        <w:rPr>
          <w:szCs w:val="28"/>
        </w:rPr>
        <w:t xml:space="preserve"> </w:t>
      </w:r>
      <w:proofErr w:type="gramStart"/>
      <w:r w:rsidRPr="00D95AFC">
        <w:rPr>
          <w:szCs w:val="28"/>
        </w:rPr>
        <w:t>в</w:t>
      </w:r>
      <w:proofErr w:type="gramEnd"/>
      <w:r w:rsidRPr="00D95AFC">
        <w:rPr>
          <w:szCs w:val="28"/>
        </w:rPr>
        <w:t xml:space="preserve"> 2019 году приобрел статус межрайонного. Село Гофицкое многонациональное, где на протяжении многих лет комфортно живется вместе русским и чеченцам, армянам и азербайджанцам, корейцам и даргинцам. Это неудивительно, если культуру общения, толерантности к чужим обычаям, способность дружить и уважать представителей других национальностей начинают прививать ещё в </w:t>
      </w:r>
      <w:r w:rsidRPr="00D95AFC">
        <w:rPr>
          <w:szCs w:val="28"/>
        </w:rPr>
        <w:lastRenderedPageBreak/>
        <w:t>школе. Именно учащиеся МКОУ СОШ №6 им. Г.В. Батищева и их родители представляют многогранную, удивительную и неповторимую в своей самобытности и духовными ценностями  выбранную национальность и ее культуру.</w:t>
      </w:r>
    </w:p>
    <w:p w:rsidR="004634EB" w:rsidRPr="00D95AFC" w:rsidRDefault="004634EB" w:rsidP="004634EB">
      <w:pPr>
        <w:ind w:firstLine="708"/>
        <w:jc w:val="both"/>
        <w:rPr>
          <w:szCs w:val="28"/>
        </w:rPr>
      </w:pPr>
      <w:r w:rsidRPr="00D95AFC">
        <w:rPr>
          <w:szCs w:val="28"/>
        </w:rPr>
        <w:t>Гости мероприятия, в том числе и те, кто прибыл к нам из Туркменского, Левокумского и Александровского районов, наслаждались национальной музыкой и блюдами, представленными в соответствии с национальными традициями их приготовления. Церемония открытия завершилась Хороводом Дружбы, в который пригласили представителей разных культур.</w:t>
      </w:r>
    </w:p>
    <w:p w:rsidR="004634EB" w:rsidRPr="00D95AFC" w:rsidRDefault="004634EB" w:rsidP="004634EB">
      <w:pPr>
        <w:ind w:firstLine="708"/>
        <w:jc w:val="both"/>
        <w:rPr>
          <w:szCs w:val="28"/>
        </w:rPr>
      </w:pPr>
      <w:r w:rsidRPr="00D95AFC">
        <w:rPr>
          <w:szCs w:val="28"/>
        </w:rPr>
        <w:t>В концертной программе звучали украинские, грузинские, армянские песни, исполнялись туркменские и русские  танцы. Фестиваль получился очень теплым, домашним, что особенно важно, когда в мире разгораются межнациональные конфликты. Нам на нашей Петровской  земле нечего делить, зато есть, чем делиться. Все участники и  гости фестиваля собрались под разноцветной  «Радугой», где каждый  почувствовал себя неотъемлемой частью одной большой семьи под названием Россия.</w:t>
      </w:r>
    </w:p>
    <w:p w:rsidR="004634EB" w:rsidRPr="00D95AFC" w:rsidRDefault="00436190" w:rsidP="004634EB">
      <w:pPr>
        <w:pStyle w:val="af0"/>
        <w:ind w:firstLine="708"/>
        <w:jc w:val="both"/>
        <w:rPr>
          <w:szCs w:val="28"/>
          <w:shd w:val="clear" w:color="auto" w:fill="FFFFFF"/>
        </w:rPr>
      </w:pPr>
      <w:r w:rsidRPr="00D95AFC">
        <w:rPr>
          <w:szCs w:val="28"/>
          <w:shd w:val="clear" w:color="auto" w:fill="FFFFFF"/>
        </w:rPr>
        <w:t>Отделом социального развития администрации Петровского</w:t>
      </w:r>
      <w:r w:rsidR="004634EB" w:rsidRPr="00D95AFC">
        <w:rPr>
          <w:szCs w:val="28"/>
          <w:shd w:val="clear" w:color="auto" w:fill="FFFFFF"/>
        </w:rPr>
        <w:t xml:space="preserve"> городского округа организованы </w:t>
      </w:r>
      <w:r w:rsidRPr="00D95AFC">
        <w:rPr>
          <w:szCs w:val="28"/>
          <w:shd w:val="clear" w:color="auto" w:fill="FFFFFF"/>
        </w:rPr>
        <w:t xml:space="preserve">- </w:t>
      </w:r>
      <w:proofErr w:type="spellStart"/>
      <w:r w:rsidRPr="00D95AFC">
        <w:rPr>
          <w:szCs w:val="28"/>
          <w:shd w:val="clear" w:color="auto" w:fill="FFFFFF"/>
        </w:rPr>
        <w:t>квест</w:t>
      </w:r>
      <w:proofErr w:type="spellEnd"/>
      <w:r w:rsidRPr="00D95AFC">
        <w:rPr>
          <w:szCs w:val="28"/>
          <w:shd w:val="clear" w:color="auto" w:fill="FFFFFF"/>
        </w:rPr>
        <w:t xml:space="preserve"> «Ставрополье – территория толерантности» для учащихся старших классов школ </w:t>
      </w:r>
      <w:r w:rsidR="004634EB" w:rsidRPr="00D95AFC">
        <w:rPr>
          <w:szCs w:val="28"/>
          <w:shd w:val="clear" w:color="auto" w:fill="FFFFFF"/>
        </w:rPr>
        <w:t xml:space="preserve"> в селах Донская Балка. </w:t>
      </w:r>
      <w:proofErr w:type="spellStart"/>
      <w:r w:rsidR="004634EB" w:rsidRPr="00D95AFC">
        <w:rPr>
          <w:szCs w:val="28"/>
          <w:shd w:val="clear" w:color="auto" w:fill="FFFFFF"/>
        </w:rPr>
        <w:t>Константиновское</w:t>
      </w:r>
      <w:proofErr w:type="spellEnd"/>
      <w:r w:rsidR="004634EB" w:rsidRPr="00D95AFC">
        <w:rPr>
          <w:szCs w:val="28"/>
          <w:shd w:val="clear" w:color="auto" w:fill="FFFFFF"/>
        </w:rPr>
        <w:t xml:space="preserve">, Ореховка, </w:t>
      </w:r>
      <w:proofErr w:type="gramStart"/>
      <w:r w:rsidR="004634EB" w:rsidRPr="00D95AFC">
        <w:rPr>
          <w:szCs w:val="28"/>
          <w:shd w:val="clear" w:color="auto" w:fill="FFFFFF"/>
        </w:rPr>
        <w:t>поселке</w:t>
      </w:r>
      <w:proofErr w:type="gramEnd"/>
      <w:r w:rsidR="004634EB" w:rsidRPr="00D95AFC">
        <w:rPr>
          <w:szCs w:val="28"/>
          <w:shd w:val="clear" w:color="auto" w:fill="FFFFFF"/>
        </w:rPr>
        <w:t xml:space="preserve"> </w:t>
      </w:r>
      <w:proofErr w:type="spellStart"/>
      <w:r w:rsidR="004634EB" w:rsidRPr="00D95AFC">
        <w:rPr>
          <w:szCs w:val="28"/>
          <w:shd w:val="clear" w:color="auto" w:fill="FFFFFF"/>
        </w:rPr>
        <w:t>Прикалаусский</w:t>
      </w:r>
      <w:proofErr w:type="spellEnd"/>
      <w:r w:rsidR="004634EB" w:rsidRPr="00D95AFC">
        <w:rPr>
          <w:szCs w:val="28"/>
          <w:shd w:val="clear" w:color="auto" w:fill="FFFFFF"/>
        </w:rPr>
        <w:t>. Количество участников в 4 квартале – более 300 человек.</w:t>
      </w:r>
    </w:p>
    <w:p w:rsidR="004634EB" w:rsidRPr="00D95AFC" w:rsidRDefault="004634EB" w:rsidP="004634EB">
      <w:pPr>
        <w:shd w:val="clear" w:color="auto" w:fill="FFFFFF"/>
        <w:ind w:firstLine="567"/>
        <w:jc w:val="both"/>
        <w:rPr>
          <w:szCs w:val="28"/>
        </w:rPr>
      </w:pPr>
      <w:r w:rsidRPr="00D95AFC">
        <w:rPr>
          <w:szCs w:val="28"/>
        </w:rPr>
        <w:t>10 ноября 2019 года в ЦДК состоялся концерт «В дружбе народа единство России» на</w:t>
      </w:r>
      <w:r w:rsidRPr="00D95AFC">
        <w:rPr>
          <w:rFonts w:ascii="yandex-sans" w:hAnsi="yandex-sans"/>
          <w:sz w:val="23"/>
          <w:szCs w:val="23"/>
        </w:rPr>
        <w:t xml:space="preserve"> </w:t>
      </w:r>
      <w:r w:rsidRPr="00D95AFC">
        <w:rPr>
          <w:szCs w:val="28"/>
        </w:rPr>
        <w:t xml:space="preserve">мероприятии было представлено 7 народностей, проживающих в нашем городе - русские, украинцы, армяне, казаки, татары, кавказцы и цыгане. О них рассказали ведущие фестиваля. Мероприятие началось с представления русской культуры. В фестивале </w:t>
      </w:r>
      <w:proofErr w:type="gramStart"/>
      <w:r w:rsidRPr="00D95AFC">
        <w:rPr>
          <w:szCs w:val="28"/>
        </w:rPr>
        <w:t>приняли участие народны</w:t>
      </w:r>
      <w:proofErr w:type="gramEnd"/>
      <w:r w:rsidRPr="00D95AFC">
        <w:rPr>
          <w:szCs w:val="28"/>
        </w:rPr>
        <w:t xml:space="preserve"> ансамбли ЦДК: </w:t>
      </w:r>
      <w:proofErr w:type="gramStart"/>
      <w:r w:rsidRPr="00D95AFC">
        <w:rPr>
          <w:szCs w:val="28"/>
        </w:rPr>
        <w:t>«Нива золотая», «Станичники», «Надежда» «Русские узоры», детские народные коллективы «Горлинка», Ровесники».</w:t>
      </w:r>
      <w:proofErr w:type="gramEnd"/>
      <w:r w:rsidRPr="00D95AFC">
        <w:rPr>
          <w:szCs w:val="28"/>
        </w:rPr>
        <w:t xml:space="preserve"> Танцевальный коллектив «Сударушка» ДК х. Соленое Озеро, вокальная студия «Триумф» (ЦДК), Рудольф Акопян, а так же детские сады нашего города «Ромашка», «Солнышко», «Березка», студенты </w:t>
      </w:r>
      <w:proofErr w:type="spellStart"/>
      <w:r w:rsidRPr="00D95AFC">
        <w:rPr>
          <w:szCs w:val="28"/>
        </w:rPr>
        <w:t>Светлоградского</w:t>
      </w:r>
      <w:proofErr w:type="spellEnd"/>
      <w:r w:rsidRPr="00D95AFC">
        <w:rPr>
          <w:szCs w:val="28"/>
        </w:rPr>
        <w:t xml:space="preserve"> регионального сельскохозяйственного колледжа, учащиеся частного профессионального образовательного учреждения «</w:t>
      </w:r>
      <w:proofErr w:type="spellStart"/>
      <w:r w:rsidRPr="00D95AFC">
        <w:rPr>
          <w:szCs w:val="28"/>
        </w:rPr>
        <w:t>Светлоградский</w:t>
      </w:r>
      <w:proofErr w:type="spellEnd"/>
      <w:r w:rsidRPr="00D95AFC">
        <w:rPr>
          <w:szCs w:val="28"/>
        </w:rPr>
        <w:t xml:space="preserve"> многопрофильный колледж». Все номера самодеятельности были яркими и запоминающимися. Каждая представляемая культура сопровождалась видеороликом о данной национальности. На фестивале царила дружеская атмосфера и эмоциональный подъем. В мероприятии приняли участие 160 человек.</w:t>
      </w:r>
    </w:p>
    <w:p w:rsidR="00436190" w:rsidRPr="00D95AFC" w:rsidRDefault="00436190" w:rsidP="004634EB">
      <w:pPr>
        <w:pStyle w:val="af0"/>
        <w:ind w:firstLine="708"/>
        <w:jc w:val="both"/>
        <w:rPr>
          <w:szCs w:val="28"/>
        </w:rPr>
      </w:pPr>
      <w:r w:rsidRPr="00D95AFC">
        <w:rPr>
          <w:szCs w:val="28"/>
        </w:rPr>
        <w:t xml:space="preserve">На постоянной основе членами общественного объединения правоохранительной направленности «Ангел» осуществляется мониторинг в социальной сети Интернет с целью выявления противоправных </w:t>
      </w:r>
      <w:proofErr w:type="spellStart"/>
      <w:r w:rsidRPr="00D95AFC">
        <w:rPr>
          <w:szCs w:val="28"/>
        </w:rPr>
        <w:t>контектов</w:t>
      </w:r>
      <w:proofErr w:type="spellEnd"/>
      <w:r w:rsidRPr="00D95AFC">
        <w:rPr>
          <w:szCs w:val="28"/>
        </w:rPr>
        <w:t>. По результатам мониторинга популярных групп в Петровском городском округе не выявлено запрещенных ресурсов  и проявлений  этнического и религиозного экстремизма. За отчетный период таких материалов не выявлено.</w:t>
      </w:r>
    </w:p>
    <w:p w:rsidR="00E73237" w:rsidRPr="00D95AFC" w:rsidRDefault="00E73237" w:rsidP="00961C9E">
      <w:pPr>
        <w:jc w:val="both"/>
      </w:pPr>
      <w:r w:rsidRPr="00D95AFC">
        <w:lastRenderedPageBreak/>
        <w:tab/>
        <w:t xml:space="preserve">2.2. </w:t>
      </w:r>
      <w:r w:rsidR="004634EB" w:rsidRPr="00D95AFC">
        <w:t>Совместно с Комитет</w:t>
      </w:r>
      <w:r w:rsidR="00074D89" w:rsidRPr="00D95AFC">
        <w:t>о</w:t>
      </w:r>
      <w:r w:rsidR="004634EB" w:rsidRPr="00D95AFC">
        <w:t xml:space="preserve">м </w:t>
      </w:r>
      <w:r w:rsidR="00074D89" w:rsidRPr="00D95AFC">
        <w:t xml:space="preserve">Ставропольского края </w:t>
      </w:r>
      <w:r w:rsidR="004634EB" w:rsidRPr="00D95AFC">
        <w:t xml:space="preserve">по </w:t>
      </w:r>
      <w:r w:rsidR="00074D89" w:rsidRPr="00D95AFC">
        <w:t>делам национальностей и ка</w:t>
      </w:r>
      <w:r w:rsidR="00503E53" w:rsidRPr="00D95AFC">
        <w:t>зачества 4 ноября проведен межрайонный фестиваль национальных культур в селе Гофицкое.</w:t>
      </w:r>
    </w:p>
    <w:p w:rsidR="00E73237" w:rsidRPr="00D95AFC" w:rsidRDefault="00E73237" w:rsidP="00961C9E">
      <w:pPr>
        <w:jc w:val="both"/>
      </w:pPr>
      <w:r w:rsidRPr="00D95AFC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E73237" w:rsidRPr="00D95AFC" w:rsidRDefault="00E73237" w:rsidP="00961C9E">
      <w:pPr>
        <w:ind w:firstLine="708"/>
        <w:jc w:val="both"/>
      </w:pPr>
      <w:r w:rsidRPr="00D95AFC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D95AFC">
        <w:t>КонсультантПлюс</w:t>
      </w:r>
      <w:proofErr w:type="spellEnd"/>
      <w:r w:rsidRPr="00D95AFC">
        <w:t>». В библиотеках округа</w:t>
      </w:r>
      <w:r w:rsidR="00503E53" w:rsidRPr="00D95AFC">
        <w:t xml:space="preserve"> </w:t>
      </w:r>
      <w:r w:rsidRPr="00D95AFC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E73237" w:rsidRPr="00D95AFC" w:rsidRDefault="00E73237" w:rsidP="009C10B4">
      <w:pPr>
        <w:ind w:firstLine="708"/>
        <w:jc w:val="both"/>
      </w:pPr>
      <w:r w:rsidRPr="00D95AFC">
        <w:t xml:space="preserve">2.4. Планируемые мероприятия на </w:t>
      </w:r>
      <w:r w:rsidR="00503E53" w:rsidRPr="00D95AFC">
        <w:t>первый</w:t>
      </w:r>
      <w:r w:rsidRPr="00D95AFC">
        <w:t xml:space="preserve"> квартал 20</w:t>
      </w:r>
      <w:r w:rsidR="00503E53" w:rsidRPr="00D95AFC">
        <w:t>20</w:t>
      </w:r>
      <w:r w:rsidRPr="00D95AFC">
        <w:t xml:space="preserve"> года.</w:t>
      </w:r>
    </w:p>
    <w:p w:rsidR="00E73237" w:rsidRPr="00D95AFC" w:rsidRDefault="00E73237" w:rsidP="009C10B4">
      <w:pPr>
        <w:widowControl w:val="0"/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D95AFC">
        <w:rPr>
          <w:rFonts w:eastAsia="SimSun" w:cs="Mangal"/>
          <w:kern w:val="2"/>
          <w:lang w:eastAsia="zh-CN" w:bidi="hi-IN"/>
        </w:rPr>
        <w:t xml:space="preserve">В </w:t>
      </w:r>
      <w:r w:rsidR="00503E53" w:rsidRPr="00D95AFC">
        <w:rPr>
          <w:rFonts w:eastAsia="SimSun" w:cs="Mangal"/>
          <w:kern w:val="2"/>
          <w:lang w:eastAsia="zh-CN" w:bidi="hi-IN"/>
        </w:rPr>
        <w:t>первом</w:t>
      </w:r>
      <w:r w:rsidRPr="00D95AFC">
        <w:rPr>
          <w:rFonts w:eastAsia="SimSun" w:cs="Mangal"/>
          <w:kern w:val="2"/>
          <w:lang w:eastAsia="zh-CN" w:bidi="hi-IN"/>
        </w:rPr>
        <w:t xml:space="preserve"> квартале 20</w:t>
      </w:r>
      <w:r w:rsidR="00503E53" w:rsidRPr="00D95AFC">
        <w:rPr>
          <w:rFonts w:eastAsia="SimSun" w:cs="Mangal"/>
          <w:kern w:val="2"/>
          <w:lang w:eastAsia="zh-CN" w:bidi="hi-IN"/>
        </w:rPr>
        <w:t>20</w:t>
      </w:r>
      <w:r w:rsidRPr="00D95AFC">
        <w:rPr>
          <w:rFonts w:eastAsia="SimSun" w:cs="Mangal"/>
          <w:kern w:val="2"/>
          <w:lang w:eastAsia="zh-CN" w:bidi="hi-IN"/>
        </w:rPr>
        <w:t xml:space="preserve"> года на территории Петровского городского округа запланировано проведение ряда мероприятий, направленных на гармонизацию межнациональных и </w:t>
      </w:r>
      <w:proofErr w:type="spellStart"/>
      <w:r w:rsidRPr="00D95AF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D95AF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Основными мероприятиями будут: </w:t>
      </w:r>
    </w:p>
    <w:p w:rsidR="00E73237" w:rsidRPr="00D95AFC" w:rsidRDefault="00E73237" w:rsidP="00E73237">
      <w:pPr>
        <w:widowControl w:val="0"/>
        <w:suppressAutoHyphens/>
        <w:rPr>
          <w:rFonts w:eastAsia="SimSun" w:cs="Mangal"/>
          <w:kern w:val="2"/>
          <w:lang w:eastAsia="zh-CN" w:bidi="hi-IN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276"/>
        <w:gridCol w:w="2409"/>
        <w:gridCol w:w="2977"/>
      </w:tblGrid>
      <w:tr w:rsidR="00E73237" w:rsidRPr="00D95AFC" w:rsidTr="00B831BA">
        <w:tc>
          <w:tcPr>
            <w:tcW w:w="2722" w:type="dxa"/>
          </w:tcPr>
          <w:p w:rsidR="00E73237" w:rsidRPr="00D95AF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Наименование мероприятия</w:t>
            </w:r>
          </w:p>
        </w:tc>
        <w:tc>
          <w:tcPr>
            <w:tcW w:w="1276" w:type="dxa"/>
          </w:tcPr>
          <w:p w:rsidR="00E73237" w:rsidRPr="00D95AF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дата проведения</w:t>
            </w:r>
          </w:p>
        </w:tc>
        <w:tc>
          <w:tcPr>
            <w:tcW w:w="2409" w:type="dxa"/>
          </w:tcPr>
          <w:p w:rsidR="00E73237" w:rsidRPr="00D95AF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место проведения</w:t>
            </w:r>
          </w:p>
        </w:tc>
        <w:tc>
          <w:tcPr>
            <w:tcW w:w="2977" w:type="dxa"/>
          </w:tcPr>
          <w:p w:rsidR="00E73237" w:rsidRPr="00D95AF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должность, ФИО лица, ответственного за проведение мероприятия</w:t>
            </w:r>
          </w:p>
        </w:tc>
      </w:tr>
      <w:tr w:rsidR="00BB6A2A" w:rsidRPr="00D95AFC" w:rsidTr="00F95DAE">
        <w:tc>
          <w:tcPr>
            <w:tcW w:w="2722" w:type="dxa"/>
          </w:tcPr>
          <w:p w:rsidR="00BB6A2A" w:rsidRPr="00D95AFC" w:rsidRDefault="00BB6A2A" w:rsidP="003514FC">
            <w:pPr>
              <w:pStyle w:val="af0"/>
              <w:jc w:val="both"/>
              <w:rPr>
                <w:sz w:val="22"/>
              </w:rPr>
            </w:pPr>
            <w:r w:rsidRPr="00D95AFC">
              <w:rPr>
                <w:sz w:val="24"/>
                <w:szCs w:val="24"/>
              </w:rPr>
              <w:t>«Мы за мир и равенство» экскурсия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rPr>
                <w:sz w:val="22"/>
              </w:rPr>
            </w:pPr>
            <w:r w:rsidRPr="00D95AFC">
              <w:rPr>
                <w:sz w:val="24"/>
              </w:rPr>
              <w:t>МКУК «</w:t>
            </w:r>
            <w:proofErr w:type="spellStart"/>
            <w:r w:rsidRPr="00D95AFC">
              <w:rPr>
                <w:sz w:val="24"/>
              </w:rPr>
              <w:t>Гофицкийисторико</w:t>
            </w:r>
            <w:proofErr w:type="spellEnd"/>
            <w:r w:rsidRPr="00D95AFC">
              <w:rPr>
                <w:sz w:val="24"/>
              </w:rPr>
              <w:t xml:space="preserve"> - краеведческий музей им. Ю.И. </w:t>
            </w:r>
            <w:proofErr w:type="spellStart"/>
            <w:r w:rsidRPr="00D95AFC">
              <w:rPr>
                <w:sz w:val="24"/>
              </w:rPr>
              <w:t>Бельгарова</w:t>
            </w:r>
            <w:proofErr w:type="spellEnd"/>
            <w:r w:rsidRPr="00D95AFC"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Гетманская Н. А.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BB6A2A" w:rsidRPr="00D95AFC" w:rsidTr="00F95DAE">
        <w:tc>
          <w:tcPr>
            <w:tcW w:w="2722" w:type="dxa"/>
          </w:tcPr>
          <w:p w:rsidR="00BB6A2A" w:rsidRPr="00D95AFC" w:rsidRDefault="00BB6A2A" w:rsidP="003514FC">
            <w:pPr>
              <w:pStyle w:val="af0"/>
              <w:jc w:val="both"/>
              <w:rPr>
                <w:sz w:val="22"/>
              </w:rPr>
            </w:pPr>
            <w:r w:rsidRPr="00D95AFC">
              <w:rPr>
                <w:sz w:val="24"/>
                <w:szCs w:val="24"/>
              </w:rPr>
              <w:t xml:space="preserve">Беседа о недопустимости проявлений этнического и религиозного экстремизма в молодежной среде с протоиреем Георгием </w:t>
            </w:r>
            <w:proofErr w:type="spellStart"/>
            <w:r w:rsidRPr="00D95AFC">
              <w:rPr>
                <w:sz w:val="24"/>
                <w:szCs w:val="24"/>
              </w:rPr>
              <w:t>Угрюмовым</w:t>
            </w:r>
            <w:proofErr w:type="spellEnd"/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22 февраля 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pStyle w:val="af0"/>
              <w:jc w:val="center"/>
              <w:rPr>
                <w:sz w:val="22"/>
              </w:rPr>
            </w:pPr>
            <w:r w:rsidRPr="00D95AFC">
              <w:rPr>
                <w:sz w:val="24"/>
                <w:szCs w:val="24"/>
              </w:rPr>
              <w:t>МБУДО «</w:t>
            </w:r>
            <w:proofErr w:type="spellStart"/>
            <w:r w:rsidRPr="00D95AFC">
              <w:rPr>
                <w:sz w:val="24"/>
                <w:szCs w:val="24"/>
              </w:rPr>
              <w:t>Светлоградская</w:t>
            </w:r>
            <w:proofErr w:type="spellEnd"/>
            <w:r w:rsidRPr="00D95AFC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Гетманская Н. А.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«Планета толерантности» информационная программа ко Дню толерантности</w:t>
            </w:r>
          </w:p>
          <w:p w:rsidR="00BB6A2A" w:rsidRPr="00D95AFC" w:rsidRDefault="00BB6A2A" w:rsidP="003514F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  <w:r w:rsidRPr="00D95AFC">
              <w:rPr>
                <w:sz w:val="22"/>
                <w:szCs w:val="22"/>
              </w:rPr>
              <w:t xml:space="preserve">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pStyle w:val="af0"/>
              <w:jc w:val="both"/>
              <w:rPr>
                <w:b/>
                <w:sz w:val="22"/>
              </w:rPr>
            </w:pPr>
            <w:r w:rsidRPr="00D95AFC">
              <w:rPr>
                <w:sz w:val="24"/>
                <w:szCs w:val="24"/>
              </w:rPr>
              <w:t xml:space="preserve">Конкурс эссе «Ставрополье-край без вражды» среди молодежи населенных пунктов Петровского городского </w:t>
            </w:r>
            <w:r w:rsidRPr="00D95AFC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Образовательные учреждения Петровского городского округа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Гетманская Н. А.</w:t>
            </w:r>
          </w:p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rStyle w:val="af2"/>
                <w:sz w:val="22"/>
                <w:shd w:val="clear" w:color="auto" w:fill="FFFFFF"/>
              </w:rPr>
            </w:pPr>
            <w:proofErr w:type="spellStart"/>
            <w:r w:rsidRPr="00D95AFC">
              <w:rPr>
                <w:sz w:val="22"/>
                <w:szCs w:val="22"/>
              </w:rPr>
              <w:lastRenderedPageBreak/>
              <w:t>Библио</w:t>
            </w:r>
            <w:proofErr w:type="spellEnd"/>
            <w:r w:rsidRPr="00D95AFC">
              <w:rPr>
                <w:sz w:val="22"/>
                <w:szCs w:val="22"/>
              </w:rPr>
              <w:t xml:space="preserve"> – экспресс «Через книгу к миру и согласию»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12 МКУК «Петровская централизованная библиотечная система», территориальный отдел в п. Рогатая Балка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rStyle w:val="af2"/>
                <w:sz w:val="22"/>
                <w:shd w:val="clear" w:color="auto" w:fill="FFFFFF"/>
              </w:rPr>
            </w:pPr>
            <w:r w:rsidRPr="00D95AFC">
              <w:rPr>
                <w:sz w:val="22"/>
                <w:szCs w:val="22"/>
              </w:rPr>
              <w:t>Устный журнал «Толерантность дорога к миру»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12 МКУК «Петровская централизованная библиотечная система»,</w:t>
            </w:r>
          </w:p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территориальный отдел в п. Рогатая Балка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rStyle w:val="af2"/>
                <w:sz w:val="22"/>
                <w:shd w:val="clear" w:color="auto" w:fill="FFFFFF"/>
              </w:rPr>
            </w:pPr>
            <w:r w:rsidRPr="00D95AFC">
              <w:rPr>
                <w:sz w:val="22"/>
                <w:szCs w:val="22"/>
              </w:rPr>
              <w:t>Урок «У нас единая планета, у нас единая страна»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№ 20 МКУК «Петровская централизованная библиотечная система»,</w:t>
            </w:r>
          </w:p>
          <w:p w:rsidR="00BB6A2A" w:rsidRPr="00D95AFC" w:rsidRDefault="00BB6A2A" w:rsidP="003514FC">
            <w:pPr>
              <w:jc w:val="center"/>
              <w:rPr>
                <w:sz w:val="22"/>
              </w:rPr>
            </w:pPr>
            <w:proofErr w:type="gramStart"/>
            <w:r w:rsidRPr="00D95AFC">
              <w:rPr>
                <w:sz w:val="22"/>
                <w:szCs w:val="22"/>
              </w:rPr>
              <w:t>территориальный отдел в с. Сухая Буйвола</w:t>
            </w:r>
            <w:proofErr w:type="gramEnd"/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«Вся планета против терроризма» - час общения</w:t>
            </w: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Николина Балка»,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Николина Балка</w:t>
            </w:r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BB6A2A" w:rsidRPr="00D95AFC" w:rsidRDefault="00BB6A2A" w:rsidP="003514FC">
            <w:pPr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  <w:p w:rsidR="00BB6A2A" w:rsidRPr="00D95AFC" w:rsidRDefault="00BB6A2A" w:rsidP="003514FC">
            <w:pPr>
              <w:jc w:val="center"/>
              <w:rPr>
                <w:sz w:val="22"/>
              </w:rPr>
            </w:pPr>
          </w:p>
        </w:tc>
      </w:tr>
      <w:tr w:rsidR="00BB6A2A" w:rsidRPr="00D95AFC" w:rsidTr="003F5349">
        <w:tc>
          <w:tcPr>
            <w:tcW w:w="2722" w:type="dxa"/>
          </w:tcPr>
          <w:p w:rsidR="00BB6A2A" w:rsidRPr="00D95AFC" w:rsidRDefault="00BB6A2A" w:rsidP="003514FC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«Планета толерантности» информационная программа ко Дню толерантности</w:t>
            </w:r>
          </w:p>
          <w:p w:rsidR="00BB6A2A" w:rsidRPr="00D95AFC" w:rsidRDefault="00BB6A2A" w:rsidP="003514F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6A2A" w:rsidRPr="00D95AFC" w:rsidRDefault="00BB6A2A" w:rsidP="003514FC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BB6A2A" w:rsidRPr="00D95AFC" w:rsidRDefault="00BB6A2A" w:rsidP="003514FC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  <w:r w:rsidRPr="00D95AFC">
              <w:rPr>
                <w:sz w:val="22"/>
                <w:szCs w:val="22"/>
              </w:rPr>
              <w:t xml:space="preserve">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</w:p>
        </w:tc>
        <w:tc>
          <w:tcPr>
            <w:tcW w:w="2977" w:type="dxa"/>
          </w:tcPr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BB6A2A" w:rsidRPr="00D95AFC" w:rsidRDefault="00BB6A2A" w:rsidP="003514F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</w:tbl>
    <w:p w:rsidR="00E73237" w:rsidRPr="00D95AFC" w:rsidRDefault="00E73237" w:rsidP="00E73237">
      <w:pPr>
        <w:widowControl w:val="0"/>
        <w:ind w:firstLine="709"/>
        <w:rPr>
          <w:b/>
        </w:rPr>
      </w:pPr>
    </w:p>
    <w:p w:rsidR="00E73237" w:rsidRPr="00D95AFC" w:rsidRDefault="00E73237" w:rsidP="009C10B4">
      <w:pPr>
        <w:widowControl w:val="0"/>
        <w:ind w:firstLine="709"/>
        <w:jc w:val="both"/>
        <w:rPr>
          <w:b/>
        </w:rPr>
      </w:pPr>
      <w:r w:rsidRPr="00D95AFC">
        <w:rPr>
          <w:b/>
        </w:rPr>
        <w:t xml:space="preserve">3. Анализ работы </w:t>
      </w:r>
      <w:proofErr w:type="spellStart"/>
      <w:r w:rsidRPr="00D95AFC">
        <w:rPr>
          <w:b/>
        </w:rPr>
        <w:t>совещательно-консультативных</w:t>
      </w:r>
      <w:proofErr w:type="spellEnd"/>
      <w:r w:rsidRPr="00D95AFC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D95AFC">
        <w:rPr>
          <w:b/>
        </w:rPr>
        <w:t>этноконфессиональных</w:t>
      </w:r>
      <w:proofErr w:type="spellEnd"/>
      <w:r w:rsidRPr="00D95AF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E73237" w:rsidRPr="00D95AFC" w:rsidRDefault="00E73237" w:rsidP="009C10B4">
      <w:pPr>
        <w:jc w:val="both"/>
      </w:pPr>
      <w:r w:rsidRPr="00D95AFC">
        <w:t xml:space="preserve">3.1. Заседание этнического совета Петровского городского округа Ставропольского края в отчетном квартале состоялось </w:t>
      </w:r>
      <w:r w:rsidR="00F64A0B" w:rsidRPr="00D95AFC">
        <w:t xml:space="preserve">24 </w:t>
      </w:r>
      <w:r w:rsidR="009C10B4" w:rsidRPr="00D95AFC">
        <w:t>декабря</w:t>
      </w:r>
      <w:r w:rsidRPr="00D95AFC">
        <w:t xml:space="preserve"> 2019 года. Рассмотрены следующие вопросы:</w:t>
      </w:r>
    </w:p>
    <w:p w:rsidR="00F64A0B" w:rsidRPr="00D95AFC" w:rsidRDefault="00F64A0B" w:rsidP="00E73237"/>
    <w:p w:rsidR="00F64A0B" w:rsidRPr="00D95AFC" w:rsidRDefault="009C10B4" w:rsidP="009C10B4">
      <w:pPr>
        <w:pStyle w:val="af0"/>
        <w:jc w:val="both"/>
        <w:rPr>
          <w:szCs w:val="28"/>
        </w:rPr>
      </w:pPr>
      <w:r w:rsidRPr="00D95AFC">
        <w:rPr>
          <w:szCs w:val="28"/>
        </w:rPr>
        <w:t xml:space="preserve">1. О работе образовательных учреждений в области укрепления межнациональных отношений и противодействия идеологии терроризма  </w:t>
      </w:r>
      <w:proofErr w:type="gramStart"/>
      <w:r w:rsidRPr="00D95AFC">
        <w:rPr>
          <w:szCs w:val="28"/>
        </w:rPr>
        <w:t>среди</w:t>
      </w:r>
      <w:proofErr w:type="gramEnd"/>
      <w:r w:rsidRPr="00D95AFC">
        <w:rPr>
          <w:szCs w:val="28"/>
        </w:rPr>
        <w:t xml:space="preserve"> обучающихся.</w:t>
      </w:r>
    </w:p>
    <w:p w:rsidR="009C10B4" w:rsidRPr="00D95AFC" w:rsidRDefault="009C10B4" w:rsidP="009C10B4">
      <w:pPr>
        <w:pStyle w:val="af0"/>
        <w:jc w:val="both"/>
        <w:rPr>
          <w:szCs w:val="28"/>
        </w:rPr>
      </w:pPr>
      <w:r w:rsidRPr="00D95AFC">
        <w:rPr>
          <w:szCs w:val="28"/>
        </w:rPr>
        <w:t xml:space="preserve">2. Об итогах реализации плана-графика мероприятий, направленных на гармонизацию межнациональных и </w:t>
      </w:r>
      <w:proofErr w:type="spellStart"/>
      <w:r w:rsidRPr="00D95AFC">
        <w:rPr>
          <w:szCs w:val="28"/>
        </w:rPr>
        <w:t>этноконфессиональных</w:t>
      </w:r>
      <w:proofErr w:type="spellEnd"/>
      <w:r w:rsidRPr="00D95AFC">
        <w:rPr>
          <w:szCs w:val="28"/>
        </w:rPr>
        <w:t xml:space="preserve"> отношений, профилактику проявлений этнического и религиозного экстремизма в Петровском городском округе Ставропольского края в 2019 году.</w:t>
      </w:r>
    </w:p>
    <w:p w:rsidR="009C10B4" w:rsidRPr="00D95AFC" w:rsidRDefault="009C10B4" w:rsidP="009C10B4">
      <w:pPr>
        <w:pStyle w:val="af0"/>
        <w:jc w:val="both"/>
        <w:rPr>
          <w:szCs w:val="28"/>
        </w:rPr>
      </w:pPr>
      <w:r w:rsidRPr="00D95AFC">
        <w:rPr>
          <w:szCs w:val="28"/>
        </w:rPr>
        <w:t>3. Об итогах мониторинга и оперативного реагирования на проявления религиозного и этнического экстремизма на территории Петровского городского округа Ставропольского края в 2019 году.</w:t>
      </w:r>
    </w:p>
    <w:p w:rsidR="009C10B4" w:rsidRPr="00D95AFC" w:rsidRDefault="009C10B4" w:rsidP="009C10B4">
      <w:pPr>
        <w:pStyle w:val="af0"/>
        <w:jc w:val="both"/>
        <w:rPr>
          <w:szCs w:val="28"/>
        </w:rPr>
      </w:pPr>
      <w:r w:rsidRPr="00D95AFC">
        <w:rPr>
          <w:szCs w:val="28"/>
        </w:rPr>
        <w:lastRenderedPageBreak/>
        <w:t>4. О согласовании плана работы этнического совета Петровского городского округа на 2020 год.</w:t>
      </w:r>
    </w:p>
    <w:p w:rsidR="00E73237" w:rsidRPr="00D95AFC" w:rsidRDefault="00E73237" w:rsidP="004D7D49">
      <w:pPr>
        <w:jc w:val="both"/>
      </w:pPr>
      <w:r w:rsidRPr="00D95AFC">
        <w:t xml:space="preserve">3.2. На текущую дату советы мира и дружбы созданы во всех территориальных отделах управления по делам территорий Петровского городского округа Ставропольского края. </w:t>
      </w:r>
      <w:proofErr w:type="gramStart"/>
      <w:r w:rsidRPr="00D95AFC">
        <w:t>Во</w:t>
      </w:r>
      <w:proofErr w:type="gramEnd"/>
      <w:r w:rsidRPr="00D95AFC">
        <w:t xml:space="preserve"> </w:t>
      </w:r>
      <w:r w:rsidR="009C10B4" w:rsidRPr="00D95AFC">
        <w:t>четвертом</w:t>
      </w:r>
      <w:r w:rsidRPr="00D95AFC">
        <w:t xml:space="preserve"> квартале заседания советов прошли во всех территориальных отделах управления по делам территорий Петровского городского округа Ставропольского края (общее количество заседаний – 12). </w:t>
      </w:r>
    </w:p>
    <w:p w:rsidR="00E73237" w:rsidRPr="00D95AFC" w:rsidRDefault="00E73237" w:rsidP="004D7D49">
      <w:pPr>
        <w:jc w:val="both"/>
      </w:pPr>
      <w:r w:rsidRPr="00D95AFC">
        <w:t xml:space="preserve"> 3.3. Оказание помощи </w:t>
      </w:r>
      <w:r w:rsidR="004D7D49" w:rsidRPr="00D95AFC">
        <w:t>территориальным отделам управления по делам территорий администрации Петровского городского округа</w:t>
      </w:r>
      <w:r w:rsidRPr="00D95AFC">
        <w:t xml:space="preserve"> в работе по гармонизации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 и профилактике экстремизма осуществляется по запросу специалистов территориальных отделов. В территориальные отделы управления по делам территорий направлены действующие методические рекомендации по подготовке настоящего отчета. Всем отделам оказана помощь в создании советов мира и дружбы, подготовке заседаний советов мира и дружбы.</w:t>
      </w:r>
    </w:p>
    <w:p w:rsidR="00E73237" w:rsidRPr="00D95AFC" w:rsidRDefault="00E73237" w:rsidP="004D7D49">
      <w:pPr>
        <w:jc w:val="both"/>
      </w:pPr>
      <w:r w:rsidRPr="00D95AFC">
        <w:t xml:space="preserve">3.4. На официальном сайте администрации Петровского городского округа Ставропольского края, в районной газете «Петровские вести» регулярно размещаются материалы, направленные на поддержание межнационального и межконфессионального мира в округе. </w:t>
      </w:r>
    </w:p>
    <w:p w:rsidR="00E73237" w:rsidRPr="00D95AFC" w:rsidRDefault="00E73237" w:rsidP="004D7D49">
      <w:pPr>
        <w:jc w:val="both"/>
        <w:rPr>
          <w:b/>
        </w:rPr>
      </w:pPr>
      <w:r w:rsidRPr="00D95AFC">
        <w:rPr>
          <w:b/>
        </w:rPr>
        <w:t>4. Деятельность религиозных и этнических объединений.</w:t>
      </w:r>
    </w:p>
    <w:p w:rsidR="00E73237" w:rsidRPr="00D95AFC" w:rsidRDefault="00E73237" w:rsidP="004D7D49">
      <w:pPr>
        <w:widowControl w:val="0"/>
        <w:ind w:firstLine="709"/>
        <w:jc w:val="both"/>
      </w:pPr>
      <w:r w:rsidRPr="00D95AFC">
        <w:t>4.1.За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E73237" w:rsidRPr="00D95AFC" w:rsidRDefault="00E73237" w:rsidP="004D7D49">
      <w:pPr>
        <w:widowControl w:val="0"/>
        <w:ind w:firstLine="709"/>
        <w:jc w:val="both"/>
      </w:pPr>
      <w:r w:rsidRPr="00D95AFC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E73237" w:rsidRPr="00D95AFC" w:rsidRDefault="00E73237" w:rsidP="004D7D49">
      <w:pPr>
        <w:widowControl w:val="0"/>
        <w:ind w:firstLine="709"/>
        <w:jc w:val="both"/>
      </w:pPr>
      <w:r w:rsidRPr="00D95AFC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BB6A2A" w:rsidRPr="00D95AFC" w:rsidRDefault="00E73237" w:rsidP="00BB6A2A">
      <w:pPr>
        <w:widowControl w:val="0"/>
        <w:ind w:firstLine="709"/>
        <w:jc w:val="both"/>
        <w:rPr>
          <w:shd w:val="clear" w:color="auto" w:fill="FFFFFF"/>
        </w:rPr>
      </w:pPr>
      <w:r w:rsidRPr="00D95AFC">
        <w:t xml:space="preserve">4.4. </w:t>
      </w:r>
      <w:r w:rsidR="00BB6A2A" w:rsidRPr="00D95AFC">
        <w:t>В четвертом квартале 201</w:t>
      </w:r>
      <w:r w:rsidR="00E24611">
        <w:t>9</w:t>
      </w:r>
      <w:r w:rsidR="00BB6A2A" w:rsidRPr="00D95AFC">
        <w:t xml:space="preserve"> года во всех православных храмах Петровского муниципального района Ставропольского края проведены праздничные службы: 14 октября - Покров Пресвятой Богородицы,  </w:t>
      </w:r>
      <w:r w:rsidR="00BB6A2A" w:rsidRPr="00D95AFC">
        <w:rPr>
          <w:shd w:val="clear" w:color="auto" w:fill="FFFFFF"/>
        </w:rPr>
        <w:t xml:space="preserve">03 ноября - </w:t>
      </w:r>
      <w:r w:rsidR="00BB6A2A" w:rsidRPr="00D95AFC">
        <w:t xml:space="preserve"> </w:t>
      </w:r>
      <w:r w:rsidR="00BB6A2A" w:rsidRPr="00D95AFC">
        <w:rPr>
          <w:shd w:val="clear" w:color="auto" w:fill="FFFFFF"/>
        </w:rPr>
        <w:t>Дмитриевская Родительская Суббота</w:t>
      </w:r>
    </w:p>
    <w:p w:rsidR="00E73237" w:rsidRPr="00D95AFC" w:rsidRDefault="00E73237" w:rsidP="00BB6A2A">
      <w:pPr>
        <w:widowControl w:val="0"/>
        <w:ind w:firstLine="709"/>
        <w:jc w:val="both"/>
      </w:pPr>
      <w:r w:rsidRPr="00D95AFC">
        <w:t>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E73237" w:rsidRPr="00D95AFC" w:rsidRDefault="00E73237" w:rsidP="004D7D49">
      <w:pPr>
        <w:widowControl w:val="0"/>
        <w:ind w:firstLine="709"/>
        <w:jc w:val="both"/>
      </w:pPr>
      <w:r w:rsidRPr="00D95AFC">
        <w:t>4.6. К религиозным объединениям (группам), осуществляющим свою деятельность на территории Петровского муниципального района Ставропольского края, которые не зарегистрированы в органах юстиции относятся:</w:t>
      </w:r>
    </w:p>
    <w:p w:rsidR="00E73237" w:rsidRPr="00D95AFC" w:rsidRDefault="00E73237" w:rsidP="004D7D49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3402"/>
      </w:tblGrid>
      <w:tr w:rsidR="00E73237" w:rsidRPr="00D95AFC" w:rsidTr="00B831BA">
        <w:tc>
          <w:tcPr>
            <w:tcW w:w="2518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t>Название</w:t>
            </w:r>
          </w:p>
        </w:tc>
        <w:tc>
          <w:tcPr>
            <w:tcW w:w="1701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t>Ф.И.О руководителя</w:t>
            </w:r>
          </w:p>
        </w:tc>
        <w:tc>
          <w:tcPr>
            <w:tcW w:w="1701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t>примерное кол-во членов</w:t>
            </w:r>
          </w:p>
        </w:tc>
        <w:tc>
          <w:tcPr>
            <w:tcW w:w="3402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</w:p>
        </w:tc>
      </w:tr>
      <w:tr w:rsidR="00E73237" w:rsidRPr="00D95AFC" w:rsidTr="00B831BA">
        <w:tc>
          <w:tcPr>
            <w:tcW w:w="2518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t xml:space="preserve">Религиозное </w:t>
            </w:r>
            <w:r w:rsidRPr="00D95AFC">
              <w:rPr>
                <w:sz w:val="24"/>
              </w:rPr>
              <w:lastRenderedPageBreak/>
              <w:t>объединение Евангельских христиан - баптистов</w:t>
            </w:r>
          </w:p>
        </w:tc>
        <w:tc>
          <w:tcPr>
            <w:tcW w:w="1701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proofErr w:type="spellStart"/>
            <w:r w:rsidRPr="00D95AFC">
              <w:rPr>
                <w:sz w:val="24"/>
              </w:rPr>
              <w:lastRenderedPageBreak/>
              <w:t>Камынин</w:t>
            </w:r>
            <w:proofErr w:type="spellEnd"/>
            <w:r w:rsidRPr="00D95AFC">
              <w:rPr>
                <w:sz w:val="24"/>
              </w:rPr>
              <w:t xml:space="preserve"> </w:t>
            </w:r>
            <w:r w:rsidRPr="00D95AFC">
              <w:rPr>
                <w:sz w:val="24"/>
              </w:rPr>
              <w:lastRenderedPageBreak/>
              <w:t>Виктор Анатольевич, староста общины</w:t>
            </w:r>
          </w:p>
        </w:tc>
        <w:tc>
          <w:tcPr>
            <w:tcW w:w="1701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E73237" w:rsidRPr="00D95AFC" w:rsidRDefault="00E73237" w:rsidP="004D7D49">
            <w:pPr>
              <w:widowControl w:val="0"/>
              <w:jc w:val="both"/>
              <w:rPr>
                <w:sz w:val="24"/>
              </w:rPr>
            </w:pPr>
            <w:r w:rsidRPr="00D95AFC">
              <w:rPr>
                <w:sz w:val="24"/>
              </w:rPr>
              <w:t xml:space="preserve">Проведена беседа со </w:t>
            </w:r>
            <w:r w:rsidRPr="00D95AFC">
              <w:rPr>
                <w:sz w:val="24"/>
              </w:rPr>
              <w:lastRenderedPageBreak/>
              <w:t xml:space="preserve">старостой общины о необходимости уведомления о начале </w:t>
            </w:r>
            <w:proofErr w:type="gramStart"/>
            <w:r w:rsidRPr="00D95AFC">
              <w:rPr>
                <w:sz w:val="24"/>
              </w:rPr>
              <w:t>деятельности религиозной группы органов юстиции Ставропольского края</w:t>
            </w:r>
            <w:proofErr w:type="gramEnd"/>
            <w:r w:rsidRPr="00D95AFC">
              <w:rPr>
                <w:sz w:val="24"/>
              </w:rPr>
              <w:t>. Старосте переданы форма уведомления, адрес и контакты  Главного управления Министерства юстиции РФ по СК</w:t>
            </w:r>
          </w:p>
        </w:tc>
      </w:tr>
    </w:tbl>
    <w:p w:rsidR="00E73237" w:rsidRPr="00D95AFC" w:rsidRDefault="00E73237" w:rsidP="004D7D49">
      <w:pPr>
        <w:widowControl w:val="0"/>
        <w:ind w:firstLine="709"/>
        <w:jc w:val="both"/>
      </w:pPr>
    </w:p>
    <w:p w:rsidR="00E73237" w:rsidRPr="00D95AFC" w:rsidRDefault="00E73237" w:rsidP="004D7D49">
      <w:pPr>
        <w:widowControl w:val="0"/>
        <w:ind w:firstLine="709"/>
        <w:jc w:val="both"/>
      </w:pPr>
      <w:r w:rsidRPr="00D95AFC">
        <w:t xml:space="preserve">4.7. Ответственной за реализацию мероприятий в сфере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  в администрации Петровского городского округа Ставропольского края назначена заместитель заведующего отделом социального развития администрации Петровского городского округа Гетманская Наталья Александровна, тел. 8-86547-4-27-69, 8-918-884-04-89.</w:t>
      </w:r>
    </w:p>
    <w:p w:rsidR="00E73237" w:rsidRPr="00D95AFC" w:rsidRDefault="00E73237" w:rsidP="004D7D49">
      <w:pPr>
        <w:widowControl w:val="0"/>
        <w:ind w:firstLine="709"/>
        <w:jc w:val="both"/>
      </w:pPr>
    </w:p>
    <w:p w:rsidR="00E73237" w:rsidRPr="00D95AFC" w:rsidRDefault="00E73237" w:rsidP="004D7D49">
      <w:pPr>
        <w:ind w:firstLine="708"/>
        <w:jc w:val="both"/>
        <w:rPr>
          <w:b/>
        </w:rPr>
      </w:pPr>
      <w:r w:rsidRPr="00D95AF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D95AFC">
        <w:rPr>
          <w:b/>
        </w:rPr>
        <w:t>этноконфессиональных</w:t>
      </w:r>
      <w:proofErr w:type="spellEnd"/>
      <w:r w:rsidRPr="00D95AFC">
        <w:rPr>
          <w:b/>
        </w:rPr>
        <w:t xml:space="preserve"> отношений, а также предупреждение этнического и религиозного экстремизма. </w:t>
      </w:r>
    </w:p>
    <w:p w:rsidR="00E73237" w:rsidRPr="00D95AFC" w:rsidRDefault="00E73237" w:rsidP="004D7D49">
      <w:pPr>
        <w:jc w:val="both"/>
      </w:pPr>
      <w:proofErr w:type="gramStart"/>
      <w:r w:rsidRPr="00D95AF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D95AF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E73237" w:rsidRPr="00D95AFC" w:rsidRDefault="00E73237" w:rsidP="004D7D49">
      <w:pPr>
        <w:jc w:val="both"/>
      </w:pPr>
      <w:r w:rsidRPr="00D95AFC">
        <w:t>Подпрограмма включает в себя следующие основные мероприятия:</w:t>
      </w:r>
    </w:p>
    <w:p w:rsidR="00E73237" w:rsidRPr="00D95AFC" w:rsidRDefault="00E73237" w:rsidP="004D7D49">
      <w:pPr>
        <w:jc w:val="both"/>
      </w:pPr>
      <w:r w:rsidRPr="00D95AFC">
        <w:t>1)</w:t>
      </w:r>
      <w:r w:rsidRPr="00D95AF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E73237" w:rsidRPr="00D95AFC" w:rsidRDefault="00E73237" w:rsidP="004D7D49">
      <w:pPr>
        <w:jc w:val="both"/>
      </w:pPr>
      <w:r w:rsidRPr="00D95AFC">
        <w:t>2) Обеспечение социальной и культурной адаптации мигрантов на территории округа.</w:t>
      </w:r>
    </w:p>
    <w:p w:rsidR="00E73237" w:rsidRPr="00D95AFC" w:rsidRDefault="00E73237" w:rsidP="004D7D49">
      <w:pPr>
        <w:jc w:val="both"/>
      </w:pPr>
      <w:r w:rsidRPr="00D95AF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E73237" w:rsidRPr="00D95AFC" w:rsidRDefault="00E73237" w:rsidP="004D7D49">
      <w:pPr>
        <w:jc w:val="both"/>
      </w:pPr>
      <w:r w:rsidRPr="00D95AFC">
        <w:t>4) Предупреждение этнического и религиозного экстремизма на территории округа.</w:t>
      </w:r>
    </w:p>
    <w:p w:rsidR="00E73237" w:rsidRPr="00D95AFC" w:rsidRDefault="00E73237" w:rsidP="004D7D49">
      <w:pPr>
        <w:jc w:val="both"/>
      </w:pPr>
    </w:p>
    <w:p w:rsidR="00E73237" w:rsidRPr="00D95AFC" w:rsidRDefault="00E73237" w:rsidP="004D7D49">
      <w:pPr>
        <w:ind w:firstLine="708"/>
        <w:jc w:val="both"/>
        <w:rPr>
          <w:b/>
        </w:rPr>
      </w:pPr>
      <w:r w:rsidRPr="00D95AFC">
        <w:rPr>
          <w:b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D95AFC">
        <w:rPr>
          <w:b/>
        </w:rPr>
        <w:lastRenderedPageBreak/>
        <w:t>этноконфессиональных</w:t>
      </w:r>
      <w:proofErr w:type="spellEnd"/>
      <w:r w:rsidRPr="00D95AFC">
        <w:rPr>
          <w:b/>
        </w:rPr>
        <w:t xml:space="preserve"> отношений, а </w:t>
      </w:r>
      <w:proofErr w:type="spellStart"/>
      <w:r w:rsidRPr="00D95AFC">
        <w:rPr>
          <w:b/>
        </w:rPr>
        <w:t>такжепредупреждения</w:t>
      </w:r>
      <w:proofErr w:type="spellEnd"/>
      <w:r w:rsidRPr="00D95AFC">
        <w:rPr>
          <w:b/>
        </w:rPr>
        <w:t xml:space="preserve"> этнического и религиозного экстремизма, сведения об их реализации в отчетном периоде.</w:t>
      </w:r>
    </w:p>
    <w:p w:rsidR="00E73237" w:rsidRPr="00D95AFC" w:rsidRDefault="00E73237" w:rsidP="004D7D49">
      <w:pPr>
        <w:jc w:val="both"/>
      </w:pPr>
      <w:r w:rsidRPr="00D95AFC"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D95AFC">
        <w:t>этноконфессиональных</w:t>
      </w:r>
      <w:proofErr w:type="spellEnd"/>
      <w:r w:rsidRPr="00D95AF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2019 год составляет </w:t>
      </w:r>
      <w:r w:rsidR="00961C9E" w:rsidRPr="00D95AFC">
        <w:t>1</w:t>
      </w:r>
      <w:r w:rsidRPr="00D95AFC">
        <w:t xml:space="preserve">56 000,00 рублей. </w:t>
      </w:r>
    </w:p>
    <w:p w:rsidR="00E73237" w:rsidRPr="00D95AFC" w:rsidRDefault="00961C9E" w:rsidP="004D7D49">
      <w:pPr>
        <w:pStyle w:val="af0"/>
        <w:ind w:firstLine="708"/>
        <w:jc w:val="both"/>
        <w:rPr>
          <w:szCs w:val="28"/>
        </w:rPr>
      </w:pPr>
      <w:r w:rsidRPr="00D95AFC">
        <w:rPr>
          <w:szCs w:val="28"/>
        </w:rPr>
        <w:t xml:space="preserve">На отчетную дату </w:t>
      </w:r>
      <w:r w:rsidR="00E73237" w:rsidRPr="00D95AFC">
        <w:rPr>
          <w:szCs w:val="28"/>
        </w:rPr>
        <w:t xml:space="preserve">на мероприятия подпрограммы израсходовано </w:t>
      </w:r>
      <w:r w:rsidR="009C10B4" w:rsidRPr="00D95AFC">
        <w:rPr>
          <w:szCs w:val="28"/>
        </w:rPr>
        <w:t>155 775</w:t>
      </w:r>
      <w:r w:rsidR="00E73237" w:rsidRPr="00D95AFC">
        <w:rPr>
          <w:szCs w:val="28"/>
        </w:rPr>
        <w:t xml:space="preserve"> рублей</w:t>
      </w:r>
      <w:r w:rsidR="009C10B4" w:rsidRPr="00D95AFC">
        <w:rPr>
          <w:szCs w:val="28"/>
        </w:rPr>
        <w:t xml:space="preserve"> (кассовое исполнение 99,9%) </w:t>
      </w:r>
      <w:r w:rsidR="00E73237" w:rsidRPr="00D95AFC">
        <w:rPr>
          <w:szCs w:val="28"/>
        </w:rPr>
        <w:t xml:space="preserve">. Факты перераспределения денежных средств на другие цели отсутствуют. Все мероприятия, запланированные детальным планом-графиком реализации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по подпрограмме «Гармонизация межнациональных и </w:t>
      </w:r>
      <w:proofErr w:type="spellStart"/>
      <w:r w:rsidR="00E73237" w:rsidRPr="00D95AFC">
        <w:rPr>
          <w:szCs w:val="28"/>
        </w:rPr>
        <w:t>этноконфессиональных</w:t>
      </w:r>
      <w:proofErr w:type="spellEnd"/>
      <w:r w:rsidR="00E73237" w:rsidRPr="00D95AFC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</w:t>
      </w:r>
      <w:r w:rsidRPr="00D95AFC">
        <w:rPr>
          <w:szCs w:val="28"/>
        </w:rPr>
        <w:t>» в отчетный период</w:t>
      </w:r>
      <w:r w:rsidR="00E73237" w:rsidRPr="00D95AFC">
        <w:rPr>
          <w:szCs w:val="28"/>
        </w:rPr>
        <w:t xml:space="preserve"> выполнены.</w:t>
      </w:r>
    </w:p>
    <w:p w:rsidR="00375613" w:rsidRPr="00D95AFC" w:rsidRDefault="00375613" w:rsidP="004D7D49">
      <w:pPr>
        <w:jc w:val="both"/>
      </w:pPr>
    </w:p>
    <w:sectPr w:rsidR="00375613" w:rsidRPr="00D95AFC" w:rsidSect="00E7323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05C0B"/>
    <w:rsid w:val="0003440A"/>
    <w:rsid w:val="000745B4"/>
    <w:rsid w:val="00074D89"/>
    <w:rsid w:val="000B407C"/>
    <w:rsid w:val="000B7C55"/>
    <w:rsid w:val="000D0080"/>
    <w:rsid w:val="000F1A22"/>
    <w:rsid w:val="000F479D"/>
    <w:rsid w:val="0012309D"/>
    <w:rsid w:val="00132500"/>
    <w:rsid w:val="00153E93"/>
    <w:rsid w:val="00166E34"/>
    <w:rsid w:val="00185132"/>
    <w:rsid w:val="00192768"/>
    <w:rsid w:val="001D162E"/>
    <w:rsid w:val="001D33FA"/>
    <w:rsid w:val="001E77F5"/>
    <w:rsid w:val="00217063"/>
    <w:rsid w:val="00225A25"/>
    <w:rsid w:val="00234433"/>
    <w:rsid w:val="0028238E"/>
    <w:rsid w:val="002F33D6"/>
    <w:rsid w:val="002F6AC4"/>
    <w:rsid w:val="0030360E"/>
    <w:rsid w:val="0031031B"/>
    <w:rsid w:val="00350407"/>
    <w:rsid w:val="00351DB5"/>
    <w:rsid w:val="0036537C"/>
    <w:rsid w:val="00372A09"/>
    <w:rsid w:val="00375613"/>
    <w:rsid w:val="00395361"/>
    <w:rsid w:val="003A47D1"/>
    <w:rsid w:val="003C5744"/>
    <w:rsid w:val="00432F30"/>
    <w:rsid w:val="00436190"/>
    <w:rsid w:val="0044016F"/>
    <w:rsid w:val="004634EB"/>
    <w:rsid w:val="004762DE"/>
    <w:rsid w:val="004779D1"/>
    <w:rsid w:val="00486D1C"/>
    <w:rsid w:val="004D7D49"/>
    <w:rsid w:val="004F1158"/>
    <w:rsid w:val="00503E53"/>
    <w:rsid w:val="00534200"/>
    <w:rsid w:val="005411D1"/>
    <w:rsid w:val="00553160"/>
    <w:rsid w:val="0057161C"/>
    <w:rsid w:val="00591FA5"/>
    <w:rsid w:val="005A4227"/>
    <w:rsid w:val="005D45D7"/>
    <w:rsid w:val="00654311"/>
    <w:rsid w:val="00676E24"/>
    <w:rsid w:val="006B5C3D"/>
    <w:rsid w:val="006D140D"/>
    <w:rsid w:val="00720AF9"/>
    <w:rsid w:val="007C4055"/>
    <w:rsid w:val="007C4893"/>
    <w:rsid w:val="007F6F20"/>
    <w:rsid w:val="008143F2"/>
    <w:rsid w:val="008610CB"/>
    <w:rsid w:val="00867B9C"/>
    <w:rsid w:val="008826F1"/>
    <w:rsid w:val="0088371E"/>
    <w:rsid w:val="00886540"/>
    <w:rsid w:val="00897171"/>
    <w:rsid w:val="008A48E5"/>
    <w:rsid w:val="008B7FDB"/>
    <w:rsid w:val="008E289A"/>
    <w:rsid w:val="008E2B95"/>
    <w:rsid w:val="008F15BF"/>
    <w:rsid w:val="00914D71"/>
    <w:rsid w:val="00923C9E"/>
    <w:rsid w:val="00942548"/>
    <w:rsid w:val="00951EBC"/>
    <w:rsid w:val="00961C9E"/>
    <w:rsid w:val="009A2C2F"/>
    <w:rsid w:val="009A4F86"/>
    <w:rsid w:val="009C10B4"/>
    <w:rsid w:val="009D2113"/>
    <w:rsid w:val="00A421EC"/>
    <w:rsid w:val="00A522B6"/>
    <w:rsid w:val="00AA2F2D"/>
    <w:rsid w:val="00AF54AE"/>
    <w:rsid w:val="00B140E6"/>
    <w:rsid w:val="00B25ABF"/>
    <w:rsid w:val="00B50734"/>
    <w:rsid w:val="00B54119"/>
    <w:rsid w:val="00B7011B"/>
    <w:rsid w:val="00B70DE5"/>
    <w:rsid w:val="00BB6A2A"/>
    <w:rsid w:val="00BF4EE3"/>
    <w:rsid w:val="00BF7BEF"/>
    <w:rsid w:val="00C31DCD"/>
    <w:rsid w:val="00C73EE1"/>
    <w:rsid w:val="00CF3E88"/>
    <w:rsid w:val="00D24782"/>
    <w:rsid w:val="00D64297"/>
    <w:rsid w:val="00D67E57"/>
    <w:rsid w:val="00D95AFC"/>
    <w:rsid w:val="00DD18B7"/>
    <w:rsid w:val="00E24611"/>
    <w:rsid w:val="00E71D62"/>
    <w:rsid w:val="00E73237"/>
    <w:rsid w:val="00EA16A4"/>
    <w:rsid w:val="00EA2FA7"/>
    <w:rsid w:val="00EF6915"/>
    <w:rsid w:val="00F005E8"/>
    <w:rsid w:val="00F0205D"/>
    <w:rsid w:val="00F64A0B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qFormat/>
    <w:rsid w:val="00E73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link w:val="af1"/>
    <w:qFormat/>
    <w:rsid w:val="00E7323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1">
    <w:name w:val="Без интервала Знак"/>
    <w:link w:val="af0"/>
    <w:rsid w:val="00E7323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E7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73237"/>
    <w:pPr>
      <w:spacing w:before="100" w:beforeAutospacing="1" w:after="100" w:afterAutospacing="1"/>
    </w:pPr>
    <w:rPr>
      <w:sz w:val="24"/>
    </w:rPr>
  </w:style>
  <w:style w:type="paragraph" w:customStyle="1" w:styleId="ft04">
    <w:name w:val="ft04"/>
    <w:basedOn w:val="a"/>
    <w:rsid w:val="00E73237"/>
    <w:pPr>
      <w:spacing w:before="100" w:beforeAutospacing="1" w:after="100" w:afterAutospacing="1"/>
    </w:pPr>
    <w:rPr>
      <w:sz w:val="24"/>
    </w:rPr>
  </w:style>
  <w:style w:type="character" w:styleId="af2">
    <w:name w:val="Strong"/>
    <w:uiPriority w:val="22"/>
    <w:qFormat/>
    <w:rsid w:val="00EF6915"/>
    <w:rPr>
      <w:b/>
      <w:bCs/>
    </w:rPr>
  </w:style>
  <w:style w:type="character" w:styleId="af3">
    <w:name w:val="Emphasis"/>
    <w:uiPriority w:val="20"/>
    <w:qFormat/>
    <w:rsid w:val="00BB6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A7C0-B6B1-40B2-84BA-E1EB224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22</cp:revision>
  <cp:lastPrinted>2019-12-26T06:50:00Z</cp:lastPrinted>
  <dcterms:created xsi:type="dcterms:W3CDTF">2018-10-02T12:57:00Z</dcterms:created>
  <dcterms:modified xsi:type="dcterms:W3CDTF">2020-01-28T07:25:00Z</dcterms:modified>
</cp:coreProperties>
</file>