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2" w:rsidRDefault="008E1041" w:rsidP="000C4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7404" w:rsidRDefault="006834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36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83436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Петровского городского округа Ставропольского края и об эффективности такого контроля за 201</w:t>
      </w:r>
      <w:r w:rsidR="000C42FB">
        <w:rPr>
          <w:rFonts w:ascii="Times New Roman" w:hAnsi="Times New Roman" w:cs="Times New Roman"/>
          <w:b/>
          <w:sz w:val="28"/>
          <w:szCs w:val="28"/>
        </w:rPr>
        <w:t>9</w:t>
      </w:r>
      <w:r w:rsidRPr="006834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3436" w:rsidRDefault="00683436" w:rsidP="00683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FE" w:rsidRDefault="00683436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 подготовлен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</w:t>
      </w:r>
      <w:r w:rsidR="00770CFE">
        <w:rPr>
          <w:rFonts w:ascii="Times New Roman" w:hAnsi="Times New Roman" w:cs="Times New Roman"/>
          <w:sz w:val="28"/>
          <w:szCs w:val="28"/>
        </w:rPr>
        <w:t>дзора), муниципального контроля в соответствующих сферах деятельности и об эффективности такого контроля (надзора)».</w:t>
      </w:r>
    </w:p>
    <w:p w:rsidR="00770CFE" w:rsidRDefault="00770CFE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CFE" w:rsidRDefault="00770CFE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FE">
        <w:rPr>
          <w:rFonts w:ascii="Times New Roman" w:hAnsi="Times New Roman" w:cs="Times New Roman"/>
          <w:b/>
          <w:sz w:val="28"/>
          <w:szCs w:val="28"/>
        </w:rPr>
        <w:t>1. Состояние нормативно-правового регулирования в соответствующей сфере деятельности</w:t>
      </w:r>
    </w:p>
    <w:p w:rsidR="00770CFE" w:rsidRPr="00F25B3E" w:rsidRDefault="00770CFE" w:rsidP="00F25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3E" w:rsidRPr="00F25B3E" w:rsidRDefault="00F25B3E" w:rsidP="00F25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</w:p>
    <w:p w:rsidR="002D20B0" w:rsidRPr="00F25B3E" w:rsidRDefault="00770CFE" w:rsidP="00F25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0C42FB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044219" w:rsidRDefault="001559EC" w:rsidP="00F25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25B3E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Pr="00F25B3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F140C" w:rsidRPr="00F25B3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AF140C" w:rsidRPr="00F25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B3E">
        <w:rPr>
          <w:rFonts w:ascii="Times New Roman" w:hAnsi="Times New Roman" w:cs="Times New Roman"/>
          <w:sz w:val="28"/>
          <w:szCs w:val="28"/>
        </w:rPr>
        <w:t>:</w:t>
      </w:r>
    </w:p>
    <w:p w:rsidR="00044219" w:rsidRPr="00931857" w:rsidRDefault="00044219" w:rsidP="0004421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44219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044219">
        <w:rPr>
          <w:rFonts w:ascii="Times New Roman" w:hAnsi="Times New Roman"/>
          <w:sz w:val="28"/>
          <w:szCs w:val="28"/>
        </w:rPr>
        <w:br/>
        <w:t>№</w:t>
      </w:r>
      <w:r w:rsidRPr="00044219">
        <w:rPr>
          <w:rFonts w:ascii="Times New Roman" w:hAnsi="Times New Roman" w:cs="Times New Roman"/>
          <w:sz w:val="28"/>
          <w:szCs w:val="28"/>
        </w:rPr>
        <w:t xml:space="preserve"> 304-п «Об утверждении Порядка осуществления муниципального земельного контроля на т</w:t>
      </w:r>
      <w:r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B3E" w:rsidRPr="00F25B3E" w:rsidRDefault="001559EC" w:rsidP="00F25B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 - 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ем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Петровского городского округа Ставропольского края от 18</w:t>
      </w:r>
      <w:r w:rsidR="000442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.04.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25B3E" w:rsidRPr="00F25B3E" w:rsidRDefault="00F25B3E" w:rsidP="00F25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ем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от 22</w:t>
      </w:r>
      <w:r w:rsidR="0004421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2018 № 357 «О</w:t>
      </w:r>
      <w:r w:rsidRPr="00F25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559EC" w:rsidRPr="00F25B3E" w:rsidRDefault="00BB401E" w:rsidP="00F25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3E">
        <w:rPr>
          <w:rFonts w:ascii="Times New Roman" w:hAnsi="Times New Roman" w:cs="Times New Roman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 (</w:t>
      </w:r>
      <w:r w:rsidRPr="00F25B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cx19&amp;from=yandex.ru%3Bsearch%2F%3Bweb%3B%3B&amp;text=&amp;etext=2056.c3Na8gVzwv01jrt6e-br3ZqAZL-Q6Y5KEFlIgcl94SvrgXsQWlubX1WESijZdG9Ul4Q06h0ezaPeRepoIRUiX7uL4FNTCPUU2P725iHtxP2bUmkXxSYQJDMGWJQQQTUDGwL5iat7Fw3pFEpkBUduKRDrM7jmMkhbhCnedQvPae9hlrOUCLIdOV7cZZ75lyPV1VF0Rp0C-kljtOtESADaDQ.e42c7f426b20574e252bbfdc5493ff54357cf5be&amp;uuid=&amp;state=PEtFfuTeVD4jaxywoSUvtB2i7c0_vxGdnZzpoPOz6GQgc4BsEMFl6WLsMpbj5NuROXku2v7ai0jhvSIoYJpbK4FDU2Y1Q3SgFusVUCAdT5wh4aXpidyBhg,,&amp;&amp;cst=AiuY0DBWFJ5Hyx_fyvalFKKRaGN3X29gwabCBPkfrhwlor82GXpFa8mVoErCbhQrEIagnB-sacO3TdJyxUF41uNHW_F_PXB0_qLWjHUXcdltGlJ18AFPXVJEqqavXytNQrjqRfxZCu27da3iaz41AmGhg7kPzkli7L4vaE3pI0Usfp7XUwzQV7w_a7YwT75CGOfAChwv991qbB0kfeI2o8OSZu_9x74xBU1X9Fa72VJbLY3ETbU-t9PzkCM-gTxvrlQdmeWOOU8psTnMh8Rg8_q4KtSXmqDP3TFZ-MK5I9hNne2oOdbuG2IP12mxgrX4B6MZ5lnzlEsARadxt-Onxw,,&amp;data=UlNrNmk5WktYejR0eWJFYk1LdmtxdFJmUENwb243LVVVbU04ZFlRaWtQcENpdUo1MU9tTV94WDdoVG12a3ZpZXg2bFFqdWJCZ205RjFGV0JKU284NXo1QmlDNDJ4S3Bl&amp;sign=d80e14e93d5e9d56b3b1f3a0e7a21743&amp;keyno=0&amp;b64e=2&amp;ref=orjY4mGPRjk5boDnW0uvlrrd71vZw9kpVBUyA8nmgRH5pjAsQ9jusrgkjZrU9FGUmoGQA60RG5B25iRRiYpcIG-W3KSx6DajOkcV6lProrMYp7b51Y2UpS84Hg1kih10cV-ySg5HTx5rhkewG9KweyyGhsFBTR7xlPfDszfeBYbaTN53LXfSMPpiwwLfLAYVSwRl_eskt0QoMw4AmYm9TfgUeUse4_tYaBsLEoDRR_qilN5pmwWhGGilmjlUwm4VIjRffhaxbnQJZM6TwzCGAH1QSJ5EASvZr66tUFnOJ4DaKA4YrzbQPRzWvKYmmI1SiewNB4cqpVeByrfDADmYxbxVn_GcLCblqvv9o2_VEnesjiOxLsENn3e7jQkOLZgmxVK2C-tptjrQG1DkXQFSLRP2ifXaXhWph7TAErIq2csI8uxt8Hj1pah9gckNbd6livAasCqUYi2vl4vVWKUVCh2YLWe4iJh9JDwj5rn8etn7-2XF6meyjs1dwQ27WQb-mPSULQE7OrFpmPr6pjk4zKScmS_0JJDsc5rfxeGW0G5tb4_YLPzqx1Ux8v4zxo_bbytuJB3aD90sHxdO3IoTKKbF4lcask_B&amp;l10n=ru&amp;rp=1&amp;cts=1549529145204&amp;mc=1.5&amp;hdtime=6538" \t "_blank" </w:instrTex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5B3E">
        <w:rPr>
          <w:rFonts w:ascii="Times New Roman" w:eastAsia="Times New Roman" w:hAnsi="Times New Roman" w:cs="Times New Roman"/>
          <w:bCs/>
          <w:sz w:val="28"/>
          <w:szCs w:val="28"/>
        </w:rPr>
        <w:t>petrgosk.ru</w: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5B3E">
        <w:rPr>
          <w:rFonts w:ascii="Times New Roman" w:hAnsi="Times New Roman" w:cs="Times New Roman"/>
          <w:sz w:val="28"/>
          <w:szCs w:val="28"/>
        </w:rPr>
        <w:t xml:space="preserve">размещена актуальная информация, </w:t>
      </w:r>
      <w:r w:rsidRPr="00F25B3E">
        <w:rPr>
          <w:rFonts w:ascii="Times New Roman" w:hAnsi="Times New Roman" w:cs="Times New Roman"/>
          <w:sz w:val="28"/>
          <w:szCs w:val="28"/>
        </w:rPr>
        <w:lastRenderedPageBreak/>
        <w:t>регламентирующая деятельность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DD3267" w:rsidRPr="00F25B3E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F25B3E" w:rsidRPr="00F25B3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D3267" w:rsidRPr="00F25B3E">
        <w:rPr>
          <w:rFonts w:ascii="Times New Roman" w:hAnsi="Times New Roman" w:cs="Times New Roman"/>
          <w:sz w:val="28"/>
          <w:szCs w:val="28"/>
        </w:rPr>
        <w:t>контроля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</w:p>
    <w:p w:rsidR="00CE5ED8" w:rsidRDefault="00CE5ED8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36" w:rsidRDefault="006A5A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36">
        <w:rPr>
          <w:rFonts w:ascii="Times New Roman" w:hAnsi="Times New Roman" w:cs="Times New Roman"/>
          <w:b/>
          <w:sz w:val="28"/>
          <w:szCs w:val="28"/>
        </w:rPr>
        <w:t xml:space="preserve">2. Организация муниципального </w:t>
      </w:r>
      <w:r w:rsidR="00F25B3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A5A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6A5A36" w:rsidRPr="006A5A36" w:rsidRDefault="006A5A36" w:rsidP="00CE5ED8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а) сведения об организационной структуре и системе управления органа муниципального </w:t>
      </w:r>
      <w:r w:rsidR="00F5242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7314C2" w:rsidRP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A36" w:rsidRDefault="006A5A3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администрации Петровского городского округа Ставропольского края нет отдельных подразделений (органов), уполномоченных на выполнение муниципальных контрольных функций. </w:t>
      </w:r>
      <w:proofErr w:type="gramStart"/>
      <w:r w:rsidR="00FC3833">
        <w:rPr>
          <w:rFonts w:ascii="Times New Roman" w:hAnsi="Times New Roman"/>
          <w:sz w:val="28"/>
          <w:szCs w:val="28"/>
        </w:rPr>
        <w:t xml:space="preserve">Должностные лица отдела жилищного учета, </w:t>
      </w:r>
      <w:r w:rsidR="00FC3833" w:rsidRPr="00DB247F">
        <w:rPr>
          <w:rFonts w:ascii="Times New Roman" w:hAnsi="Times New Roman"/>
          <w:sz w:val="28"/>
          <w:szCs w:val="28"/>
        </w:rPr>
        <w:t xml:space="preserve">уполномоченные на осуществление муниципального </w:t>
      </w:r>
      <w:r w:rsidR="00044219">
        <w:rPr>
          <w:rFonts w:ascii="Times New Roman" w:hAnsi="Times New Roman"/>
          <w:sz w:val="28"/>
          <w:szCs w:val="28"/>
        </w:rPr>
        <w:t>земельного контроля</w:t>
      </w:r>
      <w:r w:rsidR="00FC3833" w:rsidRPr="00DB247F">
        <w:rPr>
          <w:rFonts w:ascii="Times New Roman" w:hAnsi="Times New Roman"/>
          <w:sz w:val="28"/>
          <w:szCs w:val="28"/>
        </w:rPr>
        <w:t xml:space="preserve"> 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proofErr w:type="gramEnd"/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r w:rsidR="0004421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="00BD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8D6" w:rsidRPr="00B86B1B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044219" w:rsidRPr="00B86B1B">
        <w:rPr>
          <w:rFonts w:ascii="Times New Roman" w:hAnsi="Times New Roman" w:cs="Times New Roman"/>
          <w:sz w:val="28"/>
          <w:szCs w:val="28"/>
        </w:rPr>
        <w:t>и</w:t>
      </w:r>
      <w:r w:rsidR="00044219" w:rsidRPr="00B86B1B">
        <w:rPr>
          <w:rFonts w:ascii="Times New Roman" w:hAnsi="Times New Roman" w:cs="Times New Roman"/>
          <w:sz w:val="28"/>
          <w:szCs w:val="28"/>
        </w:rPr>
        <w:t>нспектор</w:t>
      </w:r>
      <w:r w:rsidR="00044219" w:rsidRPr="00B86B1B">
        <w:rPr>
          <w:rFonts w:ascii="Times New Roman" w:hAnsi="Times New Roman" w:cs="Times New Roman"/>
          <w:sz w:val="28"/>
          <w:szCs w:val="28"/>
        </w:rPr>
        <w:t>ов</w:t>
      </w:r>
      <w:r w:rsidR="00044219" w:rsidRPr="00B86B1B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выда</w:t>
      </w:r>
      <w:r w:rsidR="00B86B1B" w:rsidRPr="00B86B1B">
        <w:rPr>
          <w:rFonts w:ascii="Times New Roman" w:hAnsi="Times New Roman" w:cs="Times New Roman"/>
          <w:sz w:val="28"/>
          <w:szCs w:val="28"/>
        </w:rPr>
        <w:t>ча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B86B1B" w:rsidRPr="00B86B1B">
        <w:rPr>
          <w:rFonts w:ascii="Times New Roman" w:hAnsi="Times New Roman" w:cs="Times New Roman"/>
          <w:sz w:val="28"/>
          <w:szCs w:val="28"/>
        </w:rPr>
        <w:t>х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для исполнения предписани</w:t>
      </w:r>
      <w:r w:rsidR="00B86B1B">
        <w:rPr>
          <w:rFonts w:ascii="Times New Roman" w:hAnsi="Times New Roman" w:cs="Times New Roman"/>
          <w:sz w:val="28"/>
          <w:szCs w:val="28"/>
        </w:rPr>
        <w:t>й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об устранении выявленных в результате проверок нарушений земельного законодательства, а также осуществл</w:t>
      </w:r>
      <w:r w:rsidR="00B86B1B" w:rsidRPr="00B86B1B">
        <w:rPr>
          <w:rFonts w:ascii="Times New Roman" w:hAnsi="Times New Roman" w:cs="Times New Roman"/>
          <w:sz w:val="28"/>
          <w:szCs w:val="28"/>
        </w:rPr>
        <w:t>ение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B1B" w:rsidRPr="00B86B1B">
        <w:rPr>
          <w:rFonts w:ascii="Times New Roman" w:hAnsi="Times New Roman" w:cs="Times New Roman"/>
          <w:sz w:val="28"/>
          <w:szCs w:val="28"/>
        </w:rPr>
        <w:t>контрол</w:t>
      </w:r>
      <w:r w:rsidR="00B86B1B" w:rsidRPr="00B86B1B">
        <w:rPr>
          <w:rFonts w:ascii="Times New Roman" w:hAnsi="Times New Roman" w:cs="Times New Roman"/>
          <w:sz w:val="28"/>
          <w:szCs w:val="28"/>
        </w:rPr>
        <w:t>я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выда</w:t>
      </w:r>
      <w:r w:rsidR="00B86B1B" w:rsidRPr="00B86B1B">
        <w:rPr>
          <w:rFonts w:ascii="Times New Roman" w:hAnsi="Times New Roman" w:cs="Times New Roman"/>
          <w:sz w:val="28"/>
          <w:szCs w:val="28"/>
        </w:rPr>
        <w:t>ча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B86B1B" w:rsidRPr="00B86B1B">
        <w:rPr>
          <w:rFonts w:ascii="Times New Roman" w:hAnsi="Times New Roman" w:cs="Times New Roman"/>
          <w:sz w:val="28"/>
          <w:szCs w:val="28"/>
        </w:rPr>
        <w:t>й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соответствии с </w:t>
      </w:r>
      <w:hyperlink r:id="rId7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проведение мониторинга эффективности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федеральными законами и иными нормативными правовыми актами.</w:t>
      </w:r>
    </w:p>
    <w:p w:rsidR="00BD68D6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P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функций:</w:t>
      </w:r>
    </w:p>
    <w:p w:rsid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B1B" w:rsidRPr="00B86B1B" w:rsidRDefault="00FC3833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осуществлять плановые и внеплановые проверки соблюдения требований законодательства Российской Федерации;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Pr="00B86B1B">
        <w:rPr>
          <w:rFonts w:ascii="Times New Roman" w:hAnsi="Times New Roman" w:cs="Times New Roman"/>
          <w:sz w:val="28"/>
          <w:szCs w:val="28"/>
        </w:rPr>
        <w:t xml:space="preserve">запрашивать и безвозмездно получать, в том числе, в электронной форме,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</w:t>
      </w:r>
      <w:r w:rsidRPr="00B86B1B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проводятся проверки, в части, относящейся к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предмету проверки;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после издания распоряжения о проведении проверки запрашивать сведения из Единого государственного реестра юридических лиц, Единого государственного реестра индивидуальных предпринимателей, единого реестра субъектов малого и среднего предпринимательства, о регистрации по месту пребывания гражданина Российской Федерации, о регистрации иностранного гражданина или лица без гражданства по месту жительства, а также сведения из разрешения на строительство, сведения из Единого государственного реестра недвижимости в рамках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в государственных органах либо подведомственных государственным органам организациях, в распоряжении которых находятся такие сведения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B86B1B" w:rsidRP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частью 1 статьи 19.4, </w:t>
      </w:r>
      <w:hyperlink r:id="rId9" w:history="1">
        <w:r w:rsidRPr="00B86B1B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86B1B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86B1B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при осуществлении муниципального контроля;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осуществлять плановые (рейдовые) осмотры, обследования земельных участков, оформлять их результаты соответствующим актом;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B86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B86B1B" w:rsidRP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выдавать предостережения о недопустимости нарушения обязательных требований в соответствии с </w:t>
      </w:r>
      <w:hyperlink r:id="rId12" w:history="1">
        <w:r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обращаться в органы внутренних дел за содействием в предотвращении или пресечении действий, препятствующих осуществлению муниципальной контрольной функции, в установлении лиц, виновных в нарушении земельного законодательства;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</w:t>
      </w:r>
      <w:r w:rsidRPr="00B86B1B">
        <w:rPr>
          <w:rFonts w:ascii="Times New Roman" w:hAnsi="Times New Roman" w:cs="Times New Roman"/>
          <w:sz w:val="28"/>
          <w:szCs w:val="28"/>
        </w:rPr>
        <w:lastRenderedPageBreak/>
        <w:t>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</w:t>
      </w:r>
      <w:r w:rsidRPr="00B86B1B">
        <w:rPr>
          <w:rFonts w:ascii="Times New Roman" w:hAnsi="Times New Roman" w:cs="Times New Roman"/>
          <w:sz w:val="28"/>
          <w:szCs w:val="28"/>
        </w:rPr>
        <w:t xml:space="preserve"> проводить предварительные проверки поступившей информации;</w:t>
      </w:r>
    </w:p>
    <w:p w:rsidR="00904ABA" w:rsidRPr="00B86B1B" w:rsidRDefault="00904ABA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t xml:space="preserve">в) наименования и реквизиты нормативных правовых актов, регламентирующих порядок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r w:rsidR="00B86B1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D8" w:rsidRPr="00FC3833" w:rsidRDefault="00CE5ED8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6" w:rsidRPr="003B5287" w:rsidRDefault="0036651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6B1B">
        <w:rPr>
          <w:rFonts w:ascii="Times New Roman" w:hAnsi="Times New Roman" w:cs="Times New Roman"/>
          <w:sz w:val="28"/>
          <w:szCs w:val="28"/>
        </w:rPr>
        <w:t>земельный</w:t>
      </w:r>
      <w:r w:rsidRPr="003B5287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в соответствии </w:t>
      </w:r>
      <w:proofErr w:type="gramStart"/>
      <w:r w:rsidRPr="003B5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287">
        <w:rPr>
          <w:rFonts w:ascii="Times New Roman" w:hAnsi="Times New Roman" w:cs="Times New Roman"/>
          <w:sz w:val="28"/>
          <w:szCs w:val="28"/>
        </w:rPr>
        <w:t>:</w:t>
      </w:r>
    </w:p>
    <w:p w:rsidR="003B5287" w:rsidRPr="001C20E3" w:rsidRDefault="003B5287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hAnsi="Times New Roman" w:cs="Times New Roman"/>
          <w:sz w:val="28"/>
          <w:szCs w:val="28"/>
        </w:rPr>
        <w:t>Федеральны</w:t>
      </w:r>
      <w:r w:rsidRPr="001C20E3">
        <w:rPr>
          <w:rFonts w:ascii="Times New Roman" w:hAnsi="Times New Roman" w:cs="Times New Roman"/>
          <w:sz w:val="28"/>
          <w:szCs w:val="28"/>
        </w:rPr>
        <w:t>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0E3">
        <w:rPr>
          <w:rFonts w:ascii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hAnsi="Times New Roman" w:cs="Times New Roman"/>
          <w:sz w:val="28"/>
          <w:szCs w:val="28"/>
        </w:rPr>
        <w:t>Федеральны</w:t>
      </w:r>
      <w:r w:rsidRPr="001C20E3">
        <w:rPr>
          <w:rFonts w:ascii="Times New Roman" w:hAnsi="Times New Roman" w:cs="Times New Roman"/>
          <w:sz w:val="28"/>
          <w:szCs w:val="28"/>
        </w:rPr>
        <w:t>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0E3">
        <w:rPr>
          <w:rFonts w:ascii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hAnsi="Times New Roman" w:cs="Times New Roman"/>
          <w:sz w:val="28"/>
          <w:szCs w:val="28"/>
        </w:rPr>
        <w:t>Федеральны</w:t>
      </w:r>
      <w:r w:rsidRPr="001C20E3">
        <w:rPr>
          <w:rFonts w:ascii="Times New Roman" w:hAnsi="Times New Roman" w:cs="Times New Roman"/>
          <w:sz w:val="28"/>
          <w:szCs w:val="28"/>
        </w:rPr>
        <w:t>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0E3">
        <w:rPr>
          <w:rFonts w:ascii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Pr="001C20E3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1C20E3" w:rsidRPr="001C20E3">
          <w:rPr>
            <w:rFonts w:ascii="Times New Roman" w:hAnsi="Times New Roman" w:cs="Times New Roman"/>
            <w:sz w:val="28"/>
            <w:szCs w:val="28"/>
          </w:rPr>
          <w:t>П</w:t>
        </w:r>
        <w:r w:rsidRPr="001C20E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C20E3">
        <w:rPr>
          <w:rFonts w:ascii="Times New Roman" w:hAnsi="Times New Roman" w:cs="Times New Roman"/>
          <w:sz w:val="28"/>
          <w:szCs w:val="28"/>
        </w:rPr>
        <w:t>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C20E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C20E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</w:t>
      </w:r>
      <w:r w:rsidRPr="001C20E3">
        <w:rPr>
          <w:rFonts w:ascii="Times New Roman" w:hAnsi="Times New Roman" w:cs="Times New Roman"/>
          <w:sz w:val="28"/>
          <w:szCs w:val="28"/>
        </w:rPr>
        <w:t>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1C20E3">
        <w:rPr>
          <w:rFonts w:ascii="Times New Roman" w:hAnsi="Times New Roman" w:cs="Times New Roman"/>
          <w:sz w:val="28"/>
          <w:szCs w:val="28"/>
        </w:rPr>
        <w:br/>
        <w:t>№ 304-п «Об утверждении Порядка осуществления муниципального земельного контроля на территории Ставропольского края»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риказ</w:t>
      </w:r>
      <w:r w:rsidRPr="001C20E3">
        <w:rPr>
          <w:rFonts w:ascii="Times New Roman" w:hAnsi="Times New Roman" w:cs="Times New Roman"/>
          <w:sz w:val="28"/>
          <w:szCs w:val="28"/>
        </w:rPr>
        <w:t>ом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C20E3">
        <w:rPr>
          <w:rFonts w:ascii="Times New Roman" w:hAnsi="Times New Roman" w:cs="Times New Roman"/>
          <w:sz w:val="28"/>
          <w:szCs w:val="28"/>
        </w:rPr>
        <w:t>;</w:t>
      </w:r>
    </w:p>
    <w:p w:rsidR="008A61D3" w:rsidRPr="001C20E3" w:rsidRDefault="008A61D3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Уставом Петровского городского округа Ставропольского края;</w:t>
      </w:r>
    </w:p>
    <w:p w:rsidR="00C20E36" w:rsidRPr="001C20E3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остановлением администрации Петровского городского округа Ставропольского края от 18.04.2018 № 563 «Об утверждении Порядка 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отношений»;</w:t>
      </w:r>
    </w:p>
    <w:p w:rsidR="001559EC" w:rsidRPr="003B5287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остановлением администрации Петровского городского округа Ставропольского края 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от 22.03.2018 № 357 «О</w:t>
      </w:r>
      <w:r w:rsidRPr="001C20E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Pr="003B5287" w:rsidRDefault="003B5287" w:rsidP="00CE5ED8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5287">
        <w:rPr>
          <w:rFonts w:ascii="Times New Roman" w:hAnsi="Times New Roman"/>
          <w:b/>
          <w:sz w:val="28"/>
          <w:szCs w:val="28"/>
        </w:rPr>
        <w:t xml:space="preserve">г) информация о взаимодействии органов государственного контроля (надзора), муниципального </w:t>
      </w:r>
      <w:r w:rsidR="00904ABA">
        <w:rPr>
          <w:rFonts w:ascii="Times New Roman" w:hAnsi="Times New Roman"/>
          <w:b/>
          <w:sz w:val="28"/>
          <w:szCs w:val="28"/>
        </w:rPr>
        <w:t>земельного</w:t>
      </w:r>
      <w:r w:rsidRPr="003B5287">
        <w:rPr>
          <w:rFonts w:ascii="Times New Roman" w:hAnsi="Times New Roman"/>
          <w:b/>
          <w:sz w:val="28"/>
          <w:szCs w:val="28"/>
        </w:rPr>
        <w:t xml:space="preserve"> контроля, порядке и формах такого взаимодействия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Pr="001F08C5" w:rsidRDefault="003B5287" w:rsidP="001F08C5">
      <w:pPr>
        <w:pStyle w:val="2"/>
        <w:ind w:firstLine="567"/>
        <w:jc w:val="both"/>
        <w:rPr>
          <w:b w:val="0"/>
          <w:sz w:val="28"/>
          <w:szCs w:val="28"/>
        </w:rPr>
      </w:pPr>
      <w:r w:rsidRPr="001F08C5">
        <w:rPr>
          <w:b w:val="0"/>
          <w:sz w:val="28"/>
          <w:szCs w:val="28"/>
        </w:rPr>
        <w:t xml:space="preserve">При организации и осуществлении муниципального </w:t>
      </w:r>
      <w:r w:rsidR="002B59E8" w:rsidRPr="001F08C5">
        <w:rPr>
          <w:b w:val="0"/>
          <w:sz w:val="28"/>
          <w:szCs w:val="28"/>
        </w:rPr>
        <w:t>земельного</w:t>
      </w:r>
      <w:r w:rsidRPr="001F08C5">
        <w:rPr>
          <w:b w:val="0"/>
          <w:sz w:val="28"/>
          <w:szCs w:val="28"/>
        </w:rPr>
        <w:t xml:space="preserve"> контроля отдел жилищного учета, строительства и муниципального контроля администрации Петровского городского округа Ставропольского края взаимодействует</w:t>
      </w:r>
      <w:r w:rsidR="00926744" w:rsidRPr="001F08C5">
        <w:rPr>
          <w:b w:val="0"/>
          <w:sz w:val="28"/>
          <w:szCs w:val="28"/>
        </w:rPr>
        <w:t xml:space="preserve"> с уполномоченным</w:t>
      </w:r>
      <w:r w:rsidR="002B59E8" w:rsidRPr="001F08C5">
        <w:rPr>
          <w:b w:val="0"/>
          <w:sz w:val="28"/>
          <w:szCs w:val="28"/>
        </w:rPr>
        <w:t>и</w:t>
      </w:r>
      <w:r w:rsidR="00926744" w:rsidRPr="001F08C5">
        <w:rPr>
          <w:b w:val="0"/>
          <w:sz w:val="28"/>
          <w:szCs w:val="28"/>
        </w:rPr>
        <w:t xml:space="preserve"> </w:t>
      </w:r>
      <w:r w:rsidR="002B59E8" w:rsidRPr="001F08C5">
        <w:rPr>
          <w:b w:val="0"/>
          <w:sz w:val="28"/>
          <w:szCs w:val="28"/>
        </w:rPr>
        <w:t>федеральны</w:t>
      </w:r>
      <w:r w:rsidR="002B59E8" w:rsidRPr="001F08C5">
        <w:rPr>
          <w:b w:val="0"/>
          <w:sz w:val="28"/>
          <w:szCs w:val="28"/>
        </w:rPr>
        <w:t>ми</w:t>
      </w:r>
      <w:r w:rsidR="002B59E8" w:rsidRPr="001F08C5">
        <w:rPr>
          <w:b w:val="0"/>
          <w:sz w:val="28"/>
          <w:szCs w:val="28"/>
        </w:rPr>
        <w:t xml:space="preserve"> орган</w:t>
      </w:r>
      <w:r w:rsidR="002B59E8" w:rsidRPr="001F08C5">
        <w:rPr>
          <w:b w:val="0"/>
          <w:sz w:val="28"/>
          <w:szCs w:val="28"/>
        </w:rPr>
        <w:t>ами</w:t>
      </w:r>
      <w:r w:rsidR="002B59E8" w:rsidRPr="001F08C5">
        <w:rPr>
          <w:b w:val="0"/>
          <w:sz w:val="28"/>
          <w:szCs w:val="28"/>
        </w:rPr>
        <w:t xml:space="preserve"> исполнительной власти, осуществляющи</w:t>
      </w:r>
      <w:r w:rsidR="002B59E8" w:rsidRPr="001F08C5">
        <w:rPr>
          <w:b w:val="0"/>
          <w:sz w:val="28"/>
          <w:szCs w:val="28"/>
        </w:rPr>
        <w:t>ми</w:t>
      </w:r>
      <w:r w:rsidR="002B59E8" w:rsidRPr="001F08C5">
        <w:rPr>
          <w:b w:val="0"/>
          <w:sz w:val="28"/>
          <w:szCs w:val="28"/>
        </w:rPr>
        <w:t xml:space="preserve"> г</w:t>
      </w:r>
      <w:r w:rsidR="002B59E8" w:rsidRPr="001F08C5">
        <w:rPr>
          <w:b w:val="0"/>
          <w:sz w:val="28"/>
          <w:szCs w:val="28"/>
        </w:rPr>
        <w:t>осударственный земельный надзор</w:t>
      </w:r>
      <w:r w:rsidR="00926744" w:rsidRPr="001F08C5">
        <w:rPr>
          <w:b w:val="0"/>
          <w:sz w:val="28"/>
          <w:szCs w:val="28"/>
        </w:rPr>
        <w:t>:</w:t>
      </w:r>
      <w:r w:rsidR="001F08C5" w:rsidRPr="001F08C5">
        <w:rPr>
          <w:b w:val="0"/>
          <w:sz w:val="28"/>
          <w:szCs w:val="28"/>
        </w:rPr>
        <w:t xml:space="preserve"> Управление</w:t>
      </w:r>
      <w:r w:rsidR="002B59E8" w:rsidRPr="001F08C5">
        <w:rPr>
          <w:b w:val="0"/>
          <w:sz w:val="28"/>
          <w:szCs w:val="28"/>
        </w:rPr>
        <w:t xml:space="preserve"> </w:t>
      </w:r>
      <w:r w:rsidR="001F08C5" w:rsidRPr="001F08C5">
        <w:rPr>
          <w:b w:val="0"/>
          <w:sz w:val="28"/>
          <w:szCs w:val="28"/>
        </w:rPr>
        <w:t>Федеральн</w:t>
      </w:r>
      <w:r w:rsidR="001F08C5" w:rsidRPr="001F08C5">
        <w:rPr>
          <w:b w:val="0"/>
          <w:sz w:val="28"/>
          <w:szCs w:val="28"/>
        </w:rPr>
        <w:t>ой</w:t>
      </w:r>
      <w:r w:rsidR="001F08C5" w:rsidRPr="001F08C5">
        <w:rPr>
          <w:b w:val="0"/>
          <w:sz w:val="28"/>
          <w:szCs w:val="28"/>
        </w:rPr>
        <w:t xml:space="preserve"> </w:t>
      </w:r>
      <w:hyperlink r:id="rId15" w:history="1">
        <w:r w:rsidR="001F08C5" w:rsidRPr="001F08C5">
          <w:rPr>
            <w:b w:val="0"/>
            <w:color w:val="0000FF"/>
            <w:sz w:val="28"/>
            <w:szCs w:val="28"/>
          </w:rPr>
          <w:t>служб</w:t>
        </w:r>
        <w:r w:rsidR="001F08C5" w:rsidRPr="001F08C5">
          <w:rPr>
            <w:b w:val="0"/>
            <w:color w:val="0000FF"/>
            <w:sz w:val="28"/>
            <w:szCs w:val="28"/>
          </w:rPr>
          <w:t>ы</w:t>
        </w:r>
      </w:hyperlink>
      <w:r w:rsidR="001F08C5" w:rsidRPr="001F08C5">
        <w:rPr>
          <w:b w:val="0"/>
          <w:sz w:val="28"/>
          <w:szCs w:val="28"/>
        </w:rPr>
        <w:t xml:space="preserve"> государственной реги</w:t>
      </w:r>
      <w:r w:rsidR="001F08C5" w:rsidRPr="001F08C5">
        <w:rPr>
          <w:b w:val="0"/>
          <w:sz w:val="28"/>
          <w:szCs w:val="28"/>
        </w:rPr>
        <w:t>страции, кадастра и картографии по Ставропольскому краю</w:t>
      </w:r>
      <w:r w:rsidR="001F08C5">
        <w:rPr>
          <w:b w:val="0"/>
          <w:sz w:val="28"/>
          <w:szCs w:val="28"/>
        </w:rPr>
        <w:t xml:space="preserve"> и</w:t>
      </w:r>
      <w:r w:rsidR="001F08C5" w:rsidRPr="001F08C5">
        <w:rPr>
          <w:b w:val="0"/>
          <w:sz w:val="28"/>
          <w:szCs w:val="28"/>
        </w:rPr>
        <w:t xml:space="preserve"> Управление </w:t>
      </w:r>
      <w:proofErr w:type="spellStart"/>
      <w:r w:rsidR="001F08C5" w:rsidRPr="001F08C5">
        <w:rPr>
          <w:b w:val="0"/>
          <w:sz w:val="28"/>
          <w:szCs w:val="28"/>
        </w:rPr>
        <w:t>Россельхознадзора</w:t>
      </w:r>
      <w:proofErr w:type="spellEnd"/>
      <w:r w:rsidR="001F08C5" w:rsidRPr="001F08C5">
        <w:rPr>
          <w:b w:val="0"/>
          <w:sz w:val="28"/>
          <w:szCs w:val="28"/>
        </w:rPr>
        <w:t xml:space="preserve"> по Ставропольскому краю и Карачаево-Черкесской Республике</w:t>
      </w:r>
      <w:r w:rsidR="00926744" w:rsidRPr="001F08C5">
        <w:rPr>
          <w:b w:val="0"/>
          <w:sz w:val="28"/>
          <w:szCs w:val="28"/>
        </w:rPr>
        <w:t xml:space="preserve"> (далее –</w:t>
      </w:r>
      <w:r w:rsidR="003F2160" w:rsidRPr="001F08C5">
        <w:rPr>
          <w:b w:val="0"/>
          <w:sz w:val="28"/>
          <w:szCs w:val="28"/>
        </w:rPr>
        <w:t xml:space="preserve"> </w:t>
      </w:r>
      <w:r w:rsidR="00926744" w:rsidRPr="001F08C5">
        <w:rPr>
          <w:b w:val="0"/>
          <w:sz w:val="28"/>
          <w:szCs w:val="28"/>
        </w:rPr>
        <w:t>орган</w:t>
      </w:r>
      <w:r w:rsidR="003F2160" w:rsidRPr="001F08C5">
        <w:rPr>
          <w:b w:val="0"/>
          <w:sz w:val="28"/>
          <w:szCs w:val="28"/>
        </w:rPr>
        <w:t>ы государственного земельного надзора</w:t>
      </w:r>
      <w:r w:rsidR="00926744" w:rsidRPr="001F08C5">
        <w:rPr>
          <w:b w:val="0"/>
          <w:sz w:val="28"/>
          <w:szCs w:val="28"/>
        </w:rPr>
        <w:t>), прокуратурой Петровского района Ставропольского края.</w:t>
      </w:r>
    </w:p>
    <w:p w:rsidR="00623BB2" w:rsidRPr="003B5287" w:rsidRDefault="00926744" w:rsidP="0062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органа муниципального </w:t>
      </w:r>
      <w:r w:rsidR="003F2160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 с</w:t>
      </w:r>
      <w:r w:rsidR="003F2160"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160">
        <w:rPr>
          <w:rFonts w:ascii="Times New Roman" w:hAnsi="Times New Roman"/>
          <w:sz w:val="28"/>
          <w:szCs w:val="28"/>
        </w:rPr>
        <w:t>государственного земельного надзора</w:t>
      </w:r>
      <w:r w:rsidR="00623BB2">
        <w:rPr>
          <w:rFonts w:ascii="Times New Roman" w:hAnsi="Times New Roman"/>
          <w:sz w:val="28"/>
          <w:szCs w:val="28"/>
        </w:rPr>
        <w:t xml:space="preserve"> регулируется </w:t>
      </w:r>
      <w:r w:rsidR="002B59E8" w:rsidRPr="001C20E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623BB2">
        <w:rPr>
          <w:rFonts w:ascii="Times New Roman" w:hAnsi="Times New Roman" w:cs="Times New Roman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030" w:rsidRPr="00E61030" w:rsidRDefault="008B3F3E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30">
        <w:rPr>
          <w:rFonts w:ascii="Times New Roman" w:hAnsi="Times New Roman"/>
          <w:b/>
          <w:sz w:val="28"/>
          <w:szCs w:val="28"/>
        </w:rPr>
        <w:t xml:space="preserve">д) 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функций по осуществлению муниципального </w:t>
      </w:r>
      <w:r w:rsidR="00904AB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3BE" w:rsidRDefault="000353BE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Петровского городского округа Ставропольского края отсутствуют организации, подведомственные органам местного самоуправления, уполномоченные на выполнение функций по осуществлению муниципального </w:t>
      </w:r>
      <w:r w:rsidR="00904AB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/>
          <w:b/>
          <w:sz w:val="28"/>
          <w:szCs w:val="28"/>
        </w:rPr>
        <w:lastRenderedPageBreak/>
        <w:t xml:space="preserve">е) </w:t>
      </w:r>
      <w:r w:rsidRPr="009546DB">
        <w:rPr>
          <w:rFonts w:ascii="Times New Roman" w:hAnsi="Times New Roman" w:cs="Times New Roman"/>
          <w:b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6DB">
        <w:rPr>
          <w:rFonts w:ascii="Times New Roman" w:hAnsi="Times New Roman" w:cs="Times New Roman"/>
          <w:sz w:val="28"/>
          <w:szCs w:val="28"/>
        </w:rPr>
        <w:t>Эксперты и экспертные организации к выполнению мероприятий по контролю при проведении проверок органами муниципального</w:t>
      </w:r>
      <w:r w:rsidR="00A7060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546DB">
        <w:rPr>
          <w:rFonts w:ascii="Times New Roman" w:hAnsi="Times New Roman" w:cs="Times New Roman"/>
          <w:sz w:val="28"/>
          <w:szCs w:val="28"/>
        </w:rPr>
        <w:t xml:space="preserve"> контроля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 xml:space="preserve">3. Финансовое и кадровое обеспечение  муниципального </w:t>
      </w:r>
      <w:r w:rsidR="00A7060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546DB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546DB" w:rsidRDefault="009546D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rFonts w:ascii="Times New Roman" w:hAnsi="Times New Roman" w:cs="Times New Roman"/>
          <w:b/>
          <w:sz w:val="28"/>
          <w:szCs w:val="28"/>
        </w:rPr>
        <w:t>ный период контрольных функций):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контрольная </w:t>
      </w:r>
      <w:r w:rsidRPr="00D03197">
        <w:rPr>
          <w:rFonts w:ascii="Times New Roman" w:hAnsi="Times New Roman"/>
          <w:sz w:val="28"/>
          <w:szCs w:val="28"/>
        </w:rPr>
        <w:t>функция 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администрации Петровского городского округа Ставропольского края, ответственных за предоставление муниципальной контрольной функции в 201</w:t>
      </w:r>
      <w:r w:rsidR="003133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13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313398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sz w:val="28"/>
          <w:szCs w:val="28"/>
        </w:rPr>
        <w:t>В 201</w:t>
      </w:r>
      <w:r w:rsidR="00313398" w:rsidRPr="00313398">
        <w:rPr>
          <w:rFonts w:ascii="Times New Roman" w:hAnsi="Times New Roman" w:cs="Times New Roman"/>
          <w:sz w:val="28"/>
          <w:szCs w:val="28"/>
        </w:rPr>
        <w:t>9</w:t>
      </w:r>
      <w:r w:rsidRPr="00313398">
        <w:rPr>
          <w:rFonts w:ascii="Times New Roman" w:hAnsi="Times New Roman" w:cs="Times New Roman"/>
          <w:sz w:val="28"/>
          <w:szCs w:val="28"/>
        </w:rPr>
        <w:t xml:space="preserve"> году специалисты отдела жилищного учета, строительства и муниципального контроля </w:t>
      </w:r>
      <w:r w:rsidR="00313398" w:rsidRPr="00313398">
        <w:rPr>
          <w:rFonts w:ascii="Times New Roman" w:hAnsi="Times New Roman" w:cs="Times New Roman"/>
          <w:sz w:val="28"/>
          <w:szCs w:val="28"/>
        </w:rPr>
        <w:t xml:space="preserve">не участвовали в </w:t>
      </w:r>
      <w:r w:rsidR="00313398" w:rsidRPr="00313398">
        <w:rPr>
          <w:rFonts w:ascii="Times New Roman" w:hAnsi="Times New Roman" w:cs="Times New Roman"/>
          <w:sz w:val="28"/>
          <w:szCs w:val="28"/>
        </w:rPr>
        <w:t>мероприятиях по повышению их квалификации</w:t>
      </w:r>
      <w:r w:rsidR="00313398" w:rsidRPr="00313398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 w:rsidRPr="00313398">
        <w:rPr>
          <w:rFonts w:ascii="Times New Roman" w:hAnsi="Times New Roman" w:cs="Times New Roman"/>
          <w:sz w:val="28"/>
          <w:szCs w:val="28"/>
        </w:rPr>
        <w:t>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313398" w:rsidRDefault="00CE78C6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8">
        <w:rPr>
          <w:rFonts w:ascii="Times New Roman" w:hAnsi="Times New Roman" w:cs="Times New Roman"/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CE5ED8" w:rsidRPr="00313398" w:rsidRDefault="00CE5ED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38A9" w:rsidRPr="00313398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bCs/>
          <w:sz w:val="28"/>
          <w:szCs w:val="28"/>
        </w:rPr>
        <w:t>По итогам 2019 год было проведено 15 плановых и внеплановых проверок соблюдения земельного законодательства в отношении физических лиц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Pr="00313398">
        <w:rPr>
          <w:rFonts w:ascii="Times New Roman" w:hAnsi="Times New Roman" w:cs="Times New Roman"/>
          <w:sz w:val="28"/>
          <w:szCs w:val="28"/>
        </w:rPr>
        <w:t xml:space="preserve">10 </w:t>
      </w:r>
      <w:r w:rsidRPr="00313398">
        <w:rPr>
          <w:rFonts w:ascii="Times New Roman" w:hAnsi="Times New Roman" w:cs="Times New Roman"/>
          <w:bCs/>
          <w:sz w:val="28"/>
          <w:szCs w:val="28"/>
        </w:rPr>
        <w:t>осмотров, обследований земельных участков</w:t>
      </w:r>
      <w:r w:rsidRPr="00313398">
        <w:rPr>
          <w:rFonts w:ascii="Times New Roman" w:hAnsi="Times New Roman" w:cs="Times New Roman"/>
          <w:sz w:val="28"/>
          <w:szCs w:val="28"/>
        </w:rPr>
        <w:t>, расположенных на территории Петровского городского округа</w:t>
      </w:r>
      <w:r w:rsidRPr="00313398">
        <w:rPr>
          <w:rFonts w:ascii="Times New Roman" w:hAnsi="Times New Roman" w:cs="Times New Roman"/>
          <w:sz w:val="28"/>
          <w:szCs w:val="28"/>
        </w:rPr>
        <w:t xml:space="preserve">, в связи с чем, средняя нагрузка </w:t>
      </w:r>
      <w:r w:rsidRPr="00313398">
        <w:rPr>
          <w:rFonts w:ascii="Times New Roman" w:hAnsi="Times New Roman" w:cs="Times New Roman"/>
          <w:sz w:val="28"/>
          <w:szCs w:val="28"/>
        </w:rPr>
        <w:t>на 1 работника</w:t>
      </w:r>
      <w:r w:rsidRPr="00313398">
        <w:rPr>
          <w:rFonts w:ascii="Times New Roman" w:hAnsi="Times New Roman" w:cs="Times New Roman"/>
          <w:sz w:val="28"/>
          <w:szCs w:val="28"/>
        </w:rPr>
        <w:t xml:space="preserve"> составила 8,3 мероприятия</w:t>
      </w:r>
      <w:r w:rsidR="00CE78C6" w:rsidRPr="00313398">
        <w:rPr>
          <w:rFonts w:ascii="Times New Roman" w:hAnsi="Times New Roman" w:cs="Times New Roman"/>
          <w:sz w:val="28"/>
          <w:szCs w:val="28"/>
        </w:rPr>
        <w:t>.</w:t>
      </w:r>
    </w:p>
    <w:p w:rsidR="00313398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CE78C6" w:rsidRDefault="00CE78C6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C6">
        <w:rPr>
          <w:rFonts w:ascii="Times New Roman" w:hAnsi="Times New Roman" w:cs="Times New Roman"/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EB38A9" w:rsidRDefault="00EB38A9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</w:t>
      </w:r>
      <w:r w:rsidR="00313398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не привлекались.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637BCF" w:rsidRDefault="00637BCF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E78C6" w:rsidRDefault="00CE78C6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637BCF" w:rsidRDefault="00637BCF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t xml:space="preserve">а) сведения, характеризующие выполненную в отчетный период работу по осуществлению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контроля, в том ч</w:t>
      </w:r>
      <w:r>
        <w:rPr>
          <w:rFonts w:ascii="Times New Roman" w:hAnsi="Times New Roman" w:cs="Times New Roman"/>
          <w:b/>
          <w:sz w:val="28"/>
          <w:szCs w:val="28"/>
        </w:rPr>
        <w:t>исле в динамике (по полугодиям):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проведено 15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(2 из них в первом полугодии)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соблюдения земельного законодательства в отношении физических лиц, по итогам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выявлено 5 правонарушений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предусмотренных статьей 7.1 Кодекса Российской Федерации об административных правонарушениях, а так же 3 нарушения статьи 26 Земельного кодекса Российской Федерации. По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были выданы обязательные для исполнения предписания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4373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атериалы проверок </w:t>
      </w:r>
      <w:r w:rsidRPr="000B70EB">
        <w:rPr>
          <w:rFonts w:ascii="Times New Roman" w:hAnsi="Times New Roman" w:cs="Times New Roman"/>
          <w:bCs/>
          <w:sz w:val="28"/>
          <w:szCs w:val="28"/>
        </w:rPr>
        <w:t>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 лиц, в действия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выявлены правонарушения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были направлены в </w:t>
      </w:r>
      <w:r w:rsidRPr="000B70EB">
        <w:rPr>
          <w:rFonts w:ascii="Times New Roman" w:hAnsi="Times New Roman" w:cs="Times New Roman"/>
          <w:sz w:val="28"/>
          <w:szCs w:val="28"/>
        </w:rPr>
        <w:t>орган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B70EB">
        <w:rPr>
          <w:rFonts w:ascii="Times New Roman" w:hAnsi="Times New Roman" w:cs="Times New Roman"/>
          <w:sz w:val="28"/>
          <w:szCs w:val="28"/>
        </w:rPr>
        <w:t>о итогам рассмотрения направленных материалов проверок органом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 xml:space="preserve">были вынесены постановления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>о назначении административных наказаний.</w:t>
      </w:r>
      <w:r w:rsidRPr="000B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материалы проверок на доработку из </w:t>
      </w:r>
      <w:r w:rsidRPr="000B70E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0EB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не возвращались, определения об отказе в возбуждении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</w:t>
      </w:r>
    </w:p>
    <w:p w:rsidR="00A44373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 xml:space="preserve">ак же за 2019 год было проведено 10 </w:t>
      </w:r>
      <w:r w:rsidRPr="00196E5C">
        <w:rPr>
          <w:rFonts w:ascii="Times New Roman" w:hAnsi="Times New Roman" w:cs="Times New Roman"/>
          <w:bCs/>
          <w:sz w:val="28"/>
          <w:szCs w:val="28"/>
        </w:rPr>
        <w:t>осмотров, обследований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(все во втором полугодии)</w:t>
      </w:r>
      <w:r>
        <w:rPr>
          <w:rFonts w:ascii="Times New Roman" w:hAnsi="Times New Roman" w:cs="Times New Roman"/>
          <w:sz w:val="28"/>
          <w:szCs w:val="28"/>
        </w:rPr>
        <w:t>, по итогам которых на 17 земельных участков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 В отношении пользователей указанных земельных участков приняты меры, направленные на пресечение выявленных нарушений</w:t>
      </w:r>
    </w:p>
    <w:p w:rsidR="00CE78C6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37BCF" w:rsidRPr="00637BCF">
        <w:rPr>
          <w:rFonts w:ascii="Times New Roman" w:hAnsi="Times New Roman" w:cs="Times New Roman"/>
          <w:sz w:val="28"/>
          <w:szCs w:val="28"/>
        </w:rPr>
        <w:t xml:space="preserve"> в прокуратур</w:t>
      </w:r>
      <w:r w:rsidR="00B714AA">
        <w:rPr>
          <w:rFonts w:ascii="Times New Roman" w:hAnsi="Times New Roman" w:cs="Times New Roman"/>
          <w:sz w:val="28"/>
          <w:szCs w:val="28"/>
        </w:rPr>
        <w:t xml:space="preserve">у Петровского района было направлено </w:t>
      </w:r>
      <w:r w:rsidR="00F5242B">
        <w:rPr>
          <w:rFonts w:ascii="Times New Roman" w:hAnsi="Times New Roman" w:cs="Times New Roman"/>
          <w:sz w:val="28"/>
          <w:szCs w:val="28"/>
        </w:rPr>
        <w:t>1</w:t>
      </w:r>
      <w:r w:rsidR="00B714A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5242B">
        <w:rPr>
          <w:rFonts w:ascii="Times New Roman" w:hAnsi="Times New Roman" w:cs="Times New Roman"/>
          <w:sz w:val="28"/>
          <w:szCs w:val="28"/>
        </w:rPr>
        <w:t>е</w:t>
      </w:r>
      <w:r w:rsidR="00B714AA">
        <w:rPr>
          <w:rFonts w:ascii="Times New Roman" w:hAnsi="Times New Roman" w:cs="Times New Roman"/>
          <w:sz w:val="28"/>
          <w:szCs w:val="28"/>
        </w:rPr>
        <w:t xml:space="preserve"> </w:t>
      </w:r>
      <w:r w:rsidR="00637BCF" w:rsidRPr="00637BCF">
        <w:rPr>
          <w:rFonts w:ascii="Times New Roman" w:hAnsi="Times New Roman" w:cs="Times New Roman"/>
          <w:sz w:val="28"/>
          <w:szCs w:val="28"/>
        </w:rPr>
        <w:t>о согласовании внепланов</w:t>
      </w:r>
      <w:r w:rsidR="00417BDD">
        <w:rPr>
          <w:rFonts w:ascii="Times New Roman" w:hAnsi="Times New Roman" w:cs="Times New Roman"/>
          <w:sz w:val="28"/>
          <w:szCs w:val="28"/>
        </w:rPr>
        <w:t>ой</w:t>
      </w:r>
      <w:r w:rsidR="00637BCF" w:rsidRPr="00637BC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17BDD">
        <w:rPr>
          <w:rFonts w:ascii="Times New Roman" w:hAnsi="Times New Roman" w:cs="Times New Roman"/>
          <w:sz w:val="28"/>
          <w:szCs w:val="28"/>
        </w:rPr>
        <w:t>ки</w:t>
      </w:r>
      <w:r w:rsidR="00637BCF" w:rsidRPr="00637BCF">
        <w:rPr>
          <w:rFonts w:ascii="Times New Roman" w:hAnsi="Times New Roman" w:cs="Times New Roman"/>
          <w:sz w:val="28"/>
          <w:szCs w:val="28"/>
        </w:rPr>
        <w:t xml:space="preserve"> </w:t>
      </w:r>
      <w:r w:rsidR="00B714AA">
        <w:rPr>
          <w:rFonts w:ascii="Times New Roman" w:hAnsi="Times New Roman" w:cs="Times New Roman"/>
          <w:sz w:val="28"/>
          <w:szCs w:val="28"/>
        </w:rPr>
        <w:t>в отношении индивидуальн</w:t>
      </w:r>
      <w:r w:rsidR="00417BDD">
        <w:rPr>
          <w:rFonts w:ascii="Times New Roman" w:hAnsi="Times New Roman" w:cs="Times New Roman"/>
          <w:sz w:val="28"/>
          <w:szCs w:val="28"/>
        </w:rPr>
        <w:t>ого</w:t>
      </w:r>
      <w:r w:rsidR="00B714A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17BDD">
        <w:rPr>
          <w:rFonts w:ascii="Times New Roman" w:hAnsi="Times New Roman" w:cs="Times New Roman"/>
          <w:sz w:val="28"/>
          <w:szCs w:val="28"/>
        </w:rPr>
        <w:t>я</w:t>
      </w:r>
      <w:r w:rsidR="00637BCF" w:rsidRPr="00637BCF">
        <w:rPr>
          <w:rFonts w:ascii="Times New Roman" w:hAnsi="Times New Roman" w:cs="Times New Roman"/>
          <w:sz w:val="28"/>
          <w:szCs w:val="28"/>
        </w:rPr>
        <w:t>.</w:t>
      </w:r>
      <w:r w:rsidR="00B714AA">
        <w:rPr>
          <w:rFonts w:ascii="Times New Roman" w:hAnsi="Times New Roman" w:cs="Times New Roman"/>
          <w:sz w:val="28"/>
          <w:szCs w:val="28"/>
        </w:rPr>
        <w:t xml:space="preserve"> В проведении внепланов</w:t>
      </w:r>
      <w:r w:rsidR="00417BDD">
        <w:rPr>
          <w:rFonts w:ascii="Times New Roman" w:hAnsi="Times New Roman" w:cs="Times New Roman"/>
          <w:sz w:val="28"/>
          <w:szCs w:val="28"/>
        </w:rPr>
        <w:t>ой</w:t>
      </w:r>
      <w:r w:rsidR="00B714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17BDD">
        <w:rPr>
          <w:rFonts w:ascii="Times New Roman" w:hAnsi="Times New Roman" w:cs="Times New Roman"/>
          <w:sz w:val="28"/>
          <w:szCs w:val="28"/>
        </w:rPr>
        <w:t>ки</w:t>
      </w:r>
      <w:r w:rsidR="00B714A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417BD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17B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было отказано.</w:t>
      </w:r>
    </w:p>
    <w:p w:rsidR="00A44373" w:rsidRPr="00637BCF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и </w:t>
      </w:r>
      <w:r>
        <w:rPr>
          <w:rFonts w:ascii="Times New Roman" w:hAnsi="Times New Roman" w:cs="Times New Roman"/>
          <w:sz w:val="28"/>
          <w:szCs w:val="28"/>
        </w:rPr>
        <w:t>внеплановых проверок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2019 году проведено не было.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BAF" w:rsidRPr="00121BAF" w:rsidRDefault="00121BAF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AF">
        <w:rPr>
          <w:rFonts w:ascii="Times New Roman" w:hAnsi="Times New Roman" w:cs="Times New Roman"/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</w:t>
      </w:r>
      <w:r>
        <w:rPr>
          <w:rFonts w:ascii="Times New Roman" w:hAnsi="Times New Roman" w:cs="Times New Roman"/>
          <w:b/>
          <w:sz w:val="28"/>
          <w:szCs w:val="28"/>
        </w:rPr>
        <w:t>стия в контрольной деятельности:</w:t>
      </w:r>
    </w:p>
    <w:p w:rsidR="00637BCF" w:rsidRDefault="00637BCF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мероприятиям по муниципальному </w:t>
      </w:r>
      <w:r w:rsidR="00A44373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эксперты, экспертные организации не привлекались.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49B">
        <w:rPr>
          <w:rFonts w:ascii="Times New Roman" w:hAnsi="Times New Roman" w:cs="Times New Roman"/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</w:t>
      </w:r>
      <w:r w:rsidRPr="00AB649B">
        <w:rPr>
          <w:rFonts w:ascii="Times New Roman" w:hAnsi="Times New Roman" w:cs="Times New Roman"/>
          <w:b/>
          <w:sz w:val="28"/>
          <w:szCs w:val="28"/>
        </w:rPr>
        <w:lastRenderedPageBreak/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характера:</w:t>
      </w:r>
      <w:proofErr w:type="gramEnd"/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9B">
        <w:rPr>
          <w:rFonts w:ascii="Times New Roman" w:hAnsi="Times New Roman" w:cs="Times New Roman"/>
          <w:sz w:val="28"/>
          <w:szCs w:val="28"/>
        </w:rPr>
        <w:t>В 201</w:t>
      </w:r>
      <w:r w:rsidR="00A44373">
        <w:rPr>
          <w:rFonts w:ascii="Times New Roman" w:hAnsi="Times New Roman" w:cs="Times New Roman"/>
          <w:sz w:val="28"/>
          <w:szCs w:val="28"/>
        </w:rPr>
        <w:t>9</w:t>
      </w:r>
      <w:r w:rsidRPr="00AB649B">
        <w:rPr>
          <w:rFonts w:ascii="Times New Roman" w:hAnsi="Times New Roman" w:cs="Times New Roman"/>
          <w:sz w:val="28"/>
          <w:szCs w:val="28"/>
        </w:rPr>
        <w:t xml:space="preserve"> году заявлений и жалоб о нарушении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AB649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AB649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AB649B">
        <w:rPr>
          <w:rFonts w:ascii="Times New Roman" w:hAnsi="Times New Roman" w:cs="Times New Roman"/>
          <w:sz w:val="28"/>
          <w:szCs w:val="28"/>
        </w:rPr>
        <w:t>не поступало. Фактов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установлено.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CA40F4" w:rsidRDefault="00CA40F4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F4">
        <w:rPr>
          <w:rFonts w:ascii="Times New Roman" w:hAnsi="Times New Roman" w:cs="Times New Roman"/>
          <w:b/>
          <w:sz w:val="28"/>
          <w:szCs w:val="28"/>
        </w:rPr>
        <w:t xml:space="preserve">5. Действия органа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CA40F4">
        <w:rPr>
          <w:rFonts w:ascii="Times New Roman" w:hAnsi="Times New Roman" w:cs="Times New Roman"/>
          <w:b/>
          <w:sz w:val="28"/>
          <w:szCs w:val="28"/>
        </w:rPr>
        <w:t xml:space="preserve"> контроля по пресечению нарушений обязательных требований и (или) устранению последствий таких нарушений</w:t>
      </w:r>
    </w:p>
    <w:p w:rsidR="00AB649B" w:rsidRDefault="00AB649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 xml:space="preserve">а) сведения о принятых органом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491757">
        <w:rPr>
          <w:rFonts w:ascii="Times New Roman" w:hAnsi="Times New Roman" w:cs="Times New Roman"/>
          <w:b/>
          <w:sz w:val="28"/>
          <w:szCs w:val="28"/>
        </w:rPr>
        <w:t xml:space="preserve"> контроля мерах реагирования по фактам выявленных нарушений, в том числе в динамике (по полугодиям):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2019 год, п</w:t>
      </w:r>
      <w:r w:rsidRPr="00A16200">
        <w:rPr>
          <w:rFonts w:ascii="Times New Roman" w:hAnsi="Times New Roman" w:cs="Times New Roman"/>
          <w:bCs/>
          <w:sz w:val="28"/>
          <w:szCs w:val="28"/>
        </w:rPr>
        <w:t>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bCs/>
          <w:sz w:val="28"/>
          <w:szCs w:val="28"/>
        </w:rPr>
        <w:t>о 8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для исполнения предписани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620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200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Российской Федерации</w:t>
      </w:r>
      <w:r w:rsidR="00FB7004">
        <w:rPr>
          <w:rFonts w:ascii="Times New Roman" w:hAnsi="Times New Roman" w:cs="Times New Roman"/>
          <w:sz w:val="28"/>
          <w:szCs w:val="28"/>
        </w:rPr>
        <w:t xml:space="preserve"> (из них 1 в первом полугодии)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выданных предписаний будет осуществлен в 2020 году</w:t>
      </w:r>
      <w:r w:rsidR="00491757">
        <w:rPr>
          <w:rFonts w:ascii="Times New Roman" w:hAnsi="Times New Roman" w:cs="Times New Roman"/>
          <w:sz w:val="28"/>
          <w:szCs w:val="28"/>
        </w:rPr>
        <w:t>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2018 г. проверки в отношении юридических лиц и индивидуальных предпринимателей не осуществлялись.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</w:t>
      </w:r>
      <w:r>
        <w:rPr>
          <w:rFonts w:ascii="Times New Roman" w:hAnsi="Times New Roman" w:cs="Times New Roman"/>
          <w:b/>
          <w:sz w:val="28"/>
          <w:szCs w:val="28"/>
        </w:rPr>
        <w:t>зора), муниципального контроля):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640E4">
        <w:rPr>
          <w:rFonts w:ascii="Times New Roman" w:hAnsi="Times New Roman" w:cs="Times New Roman"/>
          <w:sz w:val="28"/>
          <w:szCs w:val="28"/>
        </w:rPr>
        <w:t>ф</w:t>
      </w:r>
      <w:r w:rsidR="003640E4" w:rsidRPr="00AB649B">
        <w:rPr>
          <w:rFonts w:ascii="Times New Roman" w:hAnsi="Times New Roman" w:cs="Times New Roman"/>
          <w:sz w:val="28"/>
          <w:szCs w:val="28"/>
        </w:rPr>
        <w:t xml:space="preserve">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</w:t>
      </w:r>
      <w:r w:rsidR="003640E4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F20C36" w:rsidRDefault="00F20C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Анализ и оценка эффективности муниципального </w:t>
      </w:r>
      <w:r w:rsidR="00331D3D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F20C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91757" w:rsidRDefault="00491757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рассчитаны на основании сведений, приведенных в форме № 1-контроль.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 оценки эффективности</w:t>
      </w:r>
      <w:r w:rsidR="00BB5B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 w:rsidR="00BB5BD6">
        <w:rPr>
          <w:rFonts w:ascii="Times New Roman" w:hAnsi="Times New Roman" w:cs="Times New Roman"/>
          <w:sz w:val="28"/>
          <w:szCs w:val="28"/>
        </w:rPr>
        <w:t xml:space="preserve"> контроля используются следующие показатели: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9C01CD" w:rsidRPr="009C01CD" w:rsidTr="009C01CD">
        <w:tc>
          <w:tcPr>
            <w:tcW w:w="675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01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01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</w:tc>
        <w:tc>
          <w:tcPr>
            <w:tcW w:w="816" w:type="dxa"/>
          </w:tcPr>
          <w:p w:rsidR="009C01CD" w:rsidRPr="009C01CD" w:rsidRDefault="009C01CD" w:rsidP="00FB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201</w:t>
            </w:r>
            <w:r w:rsidR="00FB7004">
              <w:rPr>
                <w:rFonts w:ascii="Times New Roman" w:hAnsi="Times New Roman" w:cs="Times New Roman"/>
                <w:b/>
              </w:rPr>
              <w:t>9</w:t>
            </w:r>
            <w:r w:rsidRPr="009C01C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заявлений органа</w:t>
            </w:r>
            <w:r w:rsidR="009C01CD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 w:rsidR="009C01CD">
              <w:rPr>
                <w:rFonts w:ascii="Times New Roman" w:hAnsi="Times New Roman" w:cs="Times New Roman"/>
              </w:rPr>
              <w:t xml:space="preserve">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16" w:type="dxa"/>
          </w:tcPr>
          <w:p w:rsidR="009C01CD" w:rsidRPr="009C01CD" w:rsidRDefault="00417BDD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85D19">
              <w:rPr>
                <w:rFonts w:ascii="Times New Roman" w:hAnsi="Times New Roman" w:cs="Times New Roman"/>
              </w:rPr>
              <w:t>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9C01CD" w:rsidRPr="009C01CD" w:rsidRDefault="00305C28" w:rsidP="00305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проверок, проведенных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с нарушениями требований </w:t>
            </w:r>
            <w:hyperlink r:id="rId16" w:history="1">
              <w:r w:rsidRPr="00305C28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30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выявления которых к должностным лицам органа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</w:t>
            </w:r>
            <w:r w:rsidR="006C4938">
              <w:rPr>
                <w:rFonts w:ascii="Times New Roman" w:hAnsi="Times New Roman" w:cs="Times New Roman"/>
              </w:rPr>
              <w:t xml:space="preserve">ятельность которых подлежит </w:t>
            </w:r>
            <w:r>
              <w:rPr>
                <w:rFonts w:ascii="Times New Roman" w:hAnsi="Times New Roman" w:cs="Times New Roman"/>
              </w:rPr>
              <w:t xml:space="preserve"> муниципальному</w:t>
            </w:r>
            <w:r w:rsidR="006C4938"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земельному</w:t>
            </w:r>
            <w:r>
              <w:rPr>
                <w:rFonts w:ascii="Times New Roman" w:hAnsi="Times New Roman" w:cs="Times New Roman"/>
              </w:rPr>
              <w:t xml:space="preserve"> контролю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4938">
              <w:rPr>
                <w:rFonts w:ascii="Times New Roman" w:hAnsi="Times New Roman" w:cs="Times New Roman"/>
              </w:rPr>
              <w:t xml:space="preserve">редний размер наложенного административного </w:t>
            </w:r>
            <w:proofErr w:type="gramStart"/>
            <w:r w:rsidR="006C4938">
              <w:rPr>
                <w:rFonts w:ascii="Times New Roman" w:hAnsi="Times New Roman" w:cs="Times New Roman"/>
              </w:rPr>
              <w:t>штрафа</w:t>
            </w:r>
            <w:proofErr w:type="gramEnd"/>
            <w:r w:rsidR="006C4938">
              <w:rPr>
                <w:rFonts w:ascii="Times New Roman" w:hAnsi="Times New Roman" w:cs="Times New Roman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Pr="00814BC6" w:rsidRDefault="00814BC6" w:rsidP="002A51E2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C6">
        <w:rPr>
          <w:rFonts w:ascii="Times New Roman" w:hAnsi="Times New Roman" w:cs="Times New Roman"/>
          <w:b/>
          <w:sz w:val="28"/>
          <w:szCs w:val="28"/>
        </w:rPr>
        <w:t xml:space="preserve">7.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814BC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F20C36" w:rsidRDefault="00F20C36" w:rsidP="002A51E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BC6" w:rsidRDefault="00814BC6" w:rsidP="002A51E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в том числе планируемые на текущий год показатели его эффективности: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62E" w:rsidRDefault="0056762E" w:rsidP="0056762E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A16200">
        <w:rPr>
          <w:rFonts w:ascii="Times New Roman" w:hAnsi="Times New Roman" w:cs="Times New Roman"/>
          <w:bCs/>
          <w:sz w:val="28"/>
          <w:szCs w:val="28"/>
        </w:rPr>
        <w:t>а 2019 год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должностными лицами, уполномоченными на осуществление муниципального земельного контроля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проведено</w:t>
      </w:r>
      <w:proofErr w:type="gramEnd"/>
      <w:r w:rsidRPr="00A16200">
        <w:rPr>
          <w:rFonts w:ascii="Times New Roman" w:hAnsi="Times New Roman" w:cs="Times New Roman"/>
          <w:bCs/>
          <w:sz w:val="28"/>
          <w:szCs w:val="28"/>
        </w:rPr>
        <w:t xml:space="preserve"> 15 проверок соблюдения земельного законодательства в отношении физических лиц, по итогам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выявлено 5 правонарушений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предусмотренных статьей 7.1 Кодекса Российской Федерации об административных правонарушениях, а так же 3 нарушения статьи 26 Земельного кодекса Российской Федерации. По итогам проведенных проверок лицам, в действиях которых были </w:t>
      </w:r>
      <w:r w:rsidRPr="00A16200">
        <w:rPr>
          <w:rFonts w:ascii="Times New Roman" w:hAnsi="Times New Roman" w:cs="Times New Roman"/>
          <w:bCs/>
          <w:sz w:val="28"/>
          <w:szCs w:val="28"/>
        </w:rPr>
        <w:lastRenderedPageBreak/>
        <w:t>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были выданы обязательные для исполнения предписания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 2020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762E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атериалы проверок </w:t>
      </w:r>
      <w:r w:rsidRPr="000B70EB">
        <w:rPr>
          <w:rFonts w:ascii="Times New Roman" w:hAnsi="Times New Roman" w:cs="Times New Roman"/>
          <w:bCs/>
          <w:sz w:val="28"/>
          <w:szCs w:val="28"/>
        </w:rPr>
        <w:t>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 лиц, в действия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выявлены правонарушения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были направлены в </w:t>
      </w:r>
      <w:r w:rsidRPr="000B70EB">
        <w:rPr>
          <w:rFonts w:ascii="Times New Roman" w:hAnsi="Times New Roman" w:cs="Times New Roman"/>
          <w:sz w:val="28"/>
          <w:szCs w:val="28"/>
        </w:rPr>
        <w:t xml:space="preserve">орган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0B70EB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2E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0EB">
        <w:rPr>
          <w:rFonts w:ascii="Times New Roman" w:hAnsi="Times New Roman" w:cs="Times New Roman"/>
          <w:sz w:val="28"/>
          <w:szCs w:val="28"/>
        </w:rPr>
        <w:t>о итогам рассмотрения направленных материалов проверок органом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 xml:space="preserve">были вынесены постановления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>о назначении административных наказаний.</w:t>
      </w:r>
      <w:r w:rsidRPr="000B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материалы проверок на доработку из </w:t>
      </w:r>
      <w:r w:rsidRPr="000B70E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0EB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не возвращались, определения об отказе в возбуждении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62E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 xml:space="preserve">ак же за 2019 год было проведено 10 </w:t>
      </w:r>
      <w:r w:rsidRPr="00196E5C">
        <w:rPr>
          <w:rFonts w:ascii="Times New Roman" w:hAnsi="Times New Roman" w:cs="Times New Roman"/>
          <w:bCs/>
          <w:sz w:val="28"/>
          <w:szCs w:val="28"/>
        </w:rPr>
        <w:t>осмотров, обследований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 итогам которых на 17 земельных участков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пользователей указанных земельных участков приняты меры, направленные на пресечение выявленных нарушений; </w:t>
      </w:r>
      <w:proofErr w:type="gramEnd"/>
    </w:p>
    <w:p w:rsidR="0056762E" w:rsidRPr="0056762E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E">
        <w:rPr>
          <w:rFonts w:ascii="Times New Roman" w:hAnsi="Times New Roman" w:cs="Times New Roman"/>
          <w:sz w:val="28"/>
          <w:szCs w:val="28"/>
        </w:rPr>
        <w:t>На 2020 года, в соответствии с р</w:t>
      </w:r>
      <w:r w:rsidRPr="0056762E">
        <w:rPr>
          <w:rFonts w:ascii="Times New Roman" w:hAnsi="Times New Roman" w:cs="Times New Roman"/>
          <w:sz w:val="28"/>
          <w:szCs w:val="28"/>
        </w:rPr>
        <w:t>аспоряжение</w:t>
      </w:r>
      <w:r w:rsidRPr="0056762E">
        <w:rPr>
          <w:rFonts w:ascii="Times New Roman" w:hAnsi="Times New Roman" w:cs="Times New Roman"/>
          <w:sz w:val="28"/>
          <w:szCs w:val="28"/>
        </w:rPr>
        <w:t>м</w:t>
      </w:r>
      <w:r w:rsidRPr="0056762E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 28 октября 2019 г. </w:t>
      </w:r>
      <w:r w:rsidRPr="0056762E">
        <w:rPr>
          <w:rFonts w:ascii="Times New Roman" w:hAnsi="Times New Roman" w:cs="Times New Roman"/>
          <w:sz w:val="28"/>
          <w:szCs w:val="28"/>
        </w:rPr>
        <w:t>№</w:t>
      </w:r>
      <w:r w:rsidRPr="0056762E">
        <w:rPr>
          <w:rFonts w:ascii="Times New Roman" w:hAnsi="Times New Roman" w:cs="Times New Roman"/>
          <w:sz w:val="28"/>
          <w:szCs w:val="28"/>
        </w:rPr>
        <w:t xml:space="preserve"> 664-р </w:t>
      </w:r>
      <w:r w:rsidRPr="0056762E">
        <w:rPr>
          <w:rFonts w:ascii="Times New Roman" w:hAnsi="Times New Roman" w:cs="Times New Roman"/>
          <w:sz w:val="28"/>
          <w:szCs w:val="28"/>
        </w:rPr>
        <w:t>«</w:t>
      </w:r>
      <w:r w:rsidRPr="0056762E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2020 год</w:t>
      </w:r>
      <w:r w:rsidRPr="0056762E">
        <w:rPr>
          <w:rFonts w:ascii="Times New Roman" w:hAnsi="Times New Roman" w:cs="Times New Roman"/>
          <w:sz w:val="28"/>
          <w:szCs w:val="28"/>
        </w:rPr>
        <w:t>» планируется проведение 1 плановой проверки в отношении юридического лица.</w:t>
      </w:r>
    </w:p>
    <w:p w:rsidR="00814BC6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62E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56762E">
        <w:rPr>
          <w:rFonts w:ascii="Times New Roman" w:hAnsi="Times New Roman" w:cs="Times New Roman"/>
          <w:sz w:val="28"/>
          <w:szCs w:val="28"/>
        </w:rPr>
        <w:t>целях контроля за использованием арендованных земель (срок которых истекает в 2020 году) на территории Петровского городского округа Ставропольского края</w:t>
      </w:r>
      <w:r w:rsidRPr="0056762E">
        <w:rPr>
          <w:rFonts w:ascii="Times New Roman" w:hAnsi="Times New Roman" w:cs="Times New Roman"/>
          <w:sz w:val="28"/>
          <w:szCs w:val="28"/>
        </w:rPr>
        <w:t xml:space="preserve"> </w:t>
      </w:r>
      <w:r w:rsidRPr="0056762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18 октября 2019 г. </w:t>
      </w:r>
      <w:r w:rsidRPr="0056762E">
        <w:rPr>
          <w:rFonts w:ascii="Times New Roman" w:hAnsi="Times New Roman" w:cs="Times New Roman"/>
          <w:sz w:val="28"/>
          <w:szCs w:val="28"/>
        </w:rPr>
        <w:t>№</w:t>
      </w:r>
      <w:r w:rsidRPr="0056762E">
        <w:rPr>
          <w:rFonts w:ascii="Times New Roman" w:hAnsi="Times New Roman" w:cs="Times New Roman"/>
          <w:sz w:val="28"/>
          <w:szCs w:val="28"/>
        </w:rPr>
        <w:t xml:space="preserve"> 636-р </w:t>
      </w:r>
      <w:r w:rsidRPr="0056762E">
        <w:rPr>
          <w:rFonts w:ascii="Times New Roman" w:hAnsi="Times New Roman" w:cs="Times New Roman"/>
          <w:sz w:val="28"/>
          <w:szCs w:val="28"/>
        </w:rPr>
        <w:t>«</w:t>
      </w:r>
      <w:r w:rsidRPr="0056762E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соблюдения земельного законодательства в отношении физических лиц на 2020 год</w:t>
      </w:r>
      <w:r w:rsidRPr="0056762E">
        <w:rPr>
          <w:rFonts w:ascii="Times New Roman" w:hAnsi="Times New Roman" w:cs="Times New Roman"/>
          <w:sz w:val="28"/>
          <w:szCs w:val="28"/>
        </w:rPr>
        <w:t>»</w:t>
      </w:r>
      <w:r w:rsidRPr="0056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BC0C0B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0C0B">
        <w:rPr>
          <w:rFonts w:ascii="Times New Roman" w:hAnsi="Times New Roman" w:cs="Times New Roman"/>
          <w:sz w:val="28"/>
          <w:szCs w:val="28"/>
        </w:rPr>
        <w:t xml:space="preserve">плановых проверок соблюдения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аренде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62E" w:rsidRDefault="0056762E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94" w:rsidRDefault="00231694" w:rsidP="00FB700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94">
        <w:rPr>
          <w:rFonts w:ascii="Times New Roman" w:hAnsi="Times New Roman" w:cs="Times New Roman"/>
          <w:b/>
          <w:sz w:val="28"/>
          <w:szCs w:val="28"/>
        </w:rPr>
        <w:t>б) предложения по совершенствованию нормативно-правового р</w:t>
      </w:r>
      <w:r>
        <w:rPr>
          <w:rFonts w:ascii="Times New Roman" w:hAnsi="Times New Roman" w:cs="Times New Roman"/>
          <w:b/>
          <w:sz w:val="28"/>
          <w:szCs w:val="28"/>
        </w:rPr>
        <w:t>егулирования и осуществления</w:t>
      </w:r>
      <w:r w:rsidRPr="0023169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соответствующей сфере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694" w:rsidRDefault="0061149C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взаимодействия с органами государственного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органами прокуратуры и иными органами и должностными лицами, уполномоченными на осуществление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49C" w:rsidRDefault="0061149C" w:rsidP="002A51E2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9C">
        <w:rPr>
          <w:rFonts w:ascii="Times New Roman" w:hAnsi="Times New Roman" w:cs="Times New Roman"/>
          <w:b/>
          <w:sz w:val="28"/>
          <w:szCs w:val="28"/>
        </w:rPr>
        <w:t xml:space="preserve">в) иные предложения, связанные с осуществлением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9C">
        <w:rPr>
          <w:rFonts w:ascii="Times New Roman" w:hAnsi="Times New Roman" w:cs="Times New Roman"/>
          <w:b/>
          <w:sz w:val="28"/>
          <w:szCs w:val="28"/>
        </w:rPr>
        <w:t>контроля и направленные на повышение эффекти</w:t>
      </w:r>
      <w:r>
        <w:rPr>
          <w:rFonts w:ascii="Times New Roman" w:hAnsi="Times New Roman" w:cs="Times New Roman"/>
          <w:b/>
          <w:sz w:val="28"/>
          <w:szCs w:val="28"/>
        </w:rPr>
        <w:t>вности такого контроля</w:t>
      </w:r>
      <w:r w:rsidRPr="0061149C">
        <w:rPr>
          <w:rFonts w:ascii="Times New Roman" w:hAnsi="Times New Roman" w:cs="Times New Roman"/>
          <w:b/>
          <w:sz w:val="28"/>
          <w:szCs w:val="28"/>
        </w:rPr>
        <w:t xml:space="preserve"> и сокращение административных ограничений в 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деятельности:</w:t>
      </w:r>
    </w:p>
    <w:p w:rsidR="000F4F23" w:rsidRPr="009822C1" w:rsidRDefault="0061149C" w:rsidP="002A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0F4F23" w:rsidRPr="009822C1" w:rsidSect="00B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7F9"/>
    <w:multiLevelType w:val="hybridMultilevel"/>
    <w:tmpl w:val="6DF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59A5"/>
    <w:multiLevelType w:val="hybridMultilevel"/>
    <w:tmpl w:val="746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E9E"/>
    <w:multiLevelType w:val="hybridMultilevel"/>
    <w:tmpl w:val="B142C4A2"/>
    <w:lvl w:ilvl="0" w:tplc="03CA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0"/>
    <w:rsid w:val="000353BE"/>
    <w:rsid w:val="00044219"/>
    <w:rsid w:val="00060273"/>
    <w:rsid w:val="000611E8"/>
    <w:rsid w:val="000A18ED"/>
    <w:rsid w:val="000C42FB"/>
    <w:rsid w:val="000D396A"/>
    <w:rsid w:val="000F4F23"/>
    <w:rsid w:val="00121BAF"/>
    <w:rsid w:val="001454DD"/>
    <w:rsid w:val="001559EC"/>
    <w:rsid w:val="00157404"/>
    <w:rsid w:val="001A4655"/>
    <w:rsid w:val="001C20E3"/>
    <w:rsid w:val="001F08C5"/>
    <w:rsid w:val="00226433"/>
    <w:rsid w:val="00231694"/>
    <w:rsid w:val="00247710"/>
    <w:rsid w:val="00274D13"/>
    <w:rsid w:val="002A51E2"/>
    <w:rsid w:val="002B59E8"/>
    <w:rsid w:val="002C3777"/>
    <w:rsid w:val="002C4F96"/>
    <w:rsid w:val="002D20B0"/>
    <w:rsid w:val="002E6FEF"/>
    <w:rsid w:val="00305C28"/>
    <w:rsid w:val="00313398"/>
    <w:rsid w:val="003310A0"/>
    <w:rsid w:val="00331D3D"/>
    <w:rsid w:val="003454E6"/>
    <w:rsid w:val="0036183E"/>
    <w:rsid w:val="003640E4"/>
    <w:rsid w:val="00366516"/>
    <w:rsid w:val="003B5287"/>
    <w:rsid w:val="003F2160"/>
    <w:rsid w:val="00417BDD"/>
    <w:rsid w:val="00441882"/>
    <w:rsid w:val="00491757"/>
    <w:rsid w:val="004E3242"/>
    <w:rsid w:val="0051160B"/>
    <w:rsid w:val="0052059C"/>
    <w:rsid w:val="00541929"/>
    <w:rsid w:val="0056762E"/>
    <w:rsid w:val="0057742C"/>
    <w:rsid w:val="00593BEC"/>
    <w:rsid w:val="0061149C"/>
    <w:rsid w:val="00623BB2"/>
    <w:rsid w:val="00637BCF"/>
    <w:rsid w:val="00683436"/>
    <w:rsid w:val="006A5A36"/>
    <w:rsid w:val="006C4938"/>
    <w:rsid w:val="006F5554"/>
    <w:rsid w:val="007314C2"/>
    <w:rsid w:val="007642BB"/>
    <w:rsid w:val="00770CFE"/>
    <w:rsid w:val="0078214F"/>
    <w:rsid w:val="00814BC6"/>
    <w:rsid w:val="008A61D3"/>
    <w:rsid w:val="008B3F3E"/>
    <w:rsid w:val="008E1041"/>
    <w:rsid w:val="00904ABA"/>
    <w:rsid w:val="00926744"/>
    <w:rsid w:val="009546DB"/>
    <w:rsid w:val="00957B20"/>
    <w:rsid w:val="009822C1"/>
    <w:rsid w:val="009C01CD"/>
    <w:rsid w:val="00A23870"/>
    <w:rsid w:val="00A44373"/>
    <w:rsid w:val="00A7060E"/>
    <w:rsid w:val="00A972DF"/>
    <w:rsid w:val="00AB649B"/>
    <w:rsid w:val="00AC4473"/>
    <w:rsid w:val="00AD18E4"/>
    <w:rsid w:val="00AD2AF7"/>
    <w:rsid w:val="00AF0738"/>
    <w:rsid w:val="00AF140C"/>
    <w:rsid w:val="00B40AFF"/>
    <w:rsid w:val="00B509C1"/>
    <w:rsid w:val="00B714AA"/>
    <w:rsid w:val="00B86B1B"/>
    <w:rsid w:val="00B934B6"/>
    <w:rsid w:val="00BB0318"/>
    <w:rsid w:val="00BB401E"/>
    <w:rsid w:val="00BB5BD6"/>
    <w:rsid w:val="00BD68D6"/>
    <w:rsid w:val="00BE57D4"/>
    <w:rsid w:val="00C20E36"/>
    <w:rsid w:val="00C22D8C"/>
    <w:rsid w:val="00C6390C"/>
    <w:rsid w:val="00CA40F4"/>
    <w:rsid w:val="00CB595F"/>
    <w:rsid w:val="00CE5ED8"/>
    <w:rsid w:val="00CE78C6"/>
    <w:rsid w:val="00D458B9"/>
    <w:rsid w:val="00D85D19"/>
    <w:rsid w:val="00DD3267"/>
    <w:rsid w:val="00DF3E9C"/>
    <w:rsid w:val="00E238DD"/>
    <w:rsid w:val="00E61030"/>
    <w:rsid w:val="00E83AE4"/>
    <w:rsid w:val="00EB2A12"/>
    <w:rsid w:val="00EB38A9"/>
    <w:rsid w:val="00F20C36"/>
    <w:rsid w:val="00F25B3E"/>
    <w:rsid w:val="00F5242B"/>
    <w:rsid w:val="00FB7004"/>
    <w:rsid w:val="00FC11FC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13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2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C0A718AD29F823D3C5AC83EC2327128FF0ABB19A154F6CFC6600A8ACAF4FD33FF57F4F14AFF657EF0BDB881FAz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45F2A5BEA314F2936FAD440FDBE5B2490B656CACC6F6430427B7A941B185D6408AEDB05F8653F824E3E119106972AD75E3DD9C9E689FBAN5U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0BDF46B561BFFE2F150B966D327F48B445891382CD883C3C89C354092F73B30824BD8F3AFFB71C70168A34B9BA08C153848BD3iAH8H" TargetMode="External"/><Relationship Id="rId10" Type="http://schemas.openxmlformats.org/officeDocument/2006/relationships/hyperlink" Target="consultantplus://offline/ref=D045F2A5BEA314F2936FAD440FDBE5B2490B656CACC6F6430427B7A941B185D6408AEDB45D8152F174B9F11D593C7CB376F4C397806BN9U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5F2A5BEA314F2936FAD440FDBE5B2490B656CACC6F6430427B7A941B185D6408AEDB6568E53F174B9F11D593C7CB376F4C397806BN9U6N" TargetMode="External"/><Relationship Id="rId14" Type="http://schemas.openxmlformats.org/officeDocument/2006/relationships/hyperlink" Target="consultantplus://offline/ref=7CDE56C80222BC176C758F7DBBCD737CDF694525E2C4CF58C9A9E25D8EGE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E648-4BA6-4B2C-A8FF-442B10E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Куницын Иван Сергеевич</cp:lastModifiedBy>
  <cp:revision>13</cp:revision>
  <cp:lastPrinted>2019-02-11T11:30:00Z</cp:lastPrinted>
  <dcterms:created xsi:type="dcterms:W3CDTF">2020-02-18T05:53:00Z</dcterms:created>
  <dcterms:modified xsi:type="dcterms:W3CDTF">2020-02-18T13:04:00Z</dcterms:modified>
</cp:coreProperties>
</file>